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DA5DD" w14:textId="050F267E" w:rsidR="00C64F89" w:rsidRPr="009F0E8D" w:rsidRDefault="00C64F89" w:rsidP="00C64F89">
      <w:pPr>
        <w:pStyle w:val="CH"/>
      </w:pPr>
      <w:bookmarkStart w:id="0" w:name="historyclause"/>
      <w:r w:rsidRPr="009F0E8D">
        <w:t>3GPP RAN WG4 Meeting #9</w:t>
      </w:r>
      <w:r>
        <w:t>7-e</w:t>
      </w:r>
      <w:r w:rsidRPr="009F0E8D">
        <w:tab/>
      </w:r>
      <w:r w:rsidRPr="009F0E8D">
        <w:tab/>
      </w:r>
      <w:r w:rsidRPr="00C64F89">
        <w:t>R4-2014923</w:t>
      </w:r>
    </w:p>
    <w:p w14:paraId="4B2019C9" w14:textId="0700C670" w:rsidR="00B65CD6" w:rsidRPr="00FD166F" w:rsidRDefault="00C64F89" w:rsidP="00C64F89">
      <w:pPr>
        <w:pStyle w:val="CH"/>
        <w:tabs>
          <w:tab w:val="clear" w:pos="7920"/>
        </w:tabs>
        <w:rPr>
          <w:b w:val="0"/>
        </w:rPr>
      </w:pPr>
      <w:r w:rsidRPr="005B0B43">
        <w:t>Electronic meeting, 2nd – 13th November 2020</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49FE80DC" w:rsidR="00D309CC" w:rsidRPr="003E244D" w:rsidRDefault="00D309CC" w:rsidP="00D309CC">
      <w:pPr>
        <w:pStyle w:val="CH"/>
        <w:rPr>
          <w:b w:val="0"/>
        </w:rPr>
      </w:pPr>
      <w:r w:rsidRPr="003E244D">
        <w:t>Agenda item:</w:t>
      </w:r>
      <w:r w:rsidRPr="003E244D">
        <w:tab/>
      </w:r>
      <w:r w:rsidR="00B65CD6">
        <w:t>7.12</w:t>
      </w:r>
      <w:r w:rsidR="007800E5" w:rsidRPr="007800E5">
        <w:t>.1.2</w:t>
      </w:r>
    </w:p>
    <w:p w14:paraId="4DBE005A" w14:textId="77777777" w:rsidR="00D309CC" w:rsidRPr="003E244D" w:rsidRDefault="00D309CC" w:rsidP="00D309CC">
      <w:pPr>
        <w:pStyle w:val="CH"/>
        <w:rPr>
          <w:b w:val="0"/>
        </w:rPr>
      </w:pPr>
      <w:r w:rsidRPr="003E244D">
        <w:t>Source:</w:t>
      </w:r>
      <w:r w:rsidRPr="003E244D">
        <w:tab/>
        <w:t>Apple Inc.</w:t>
      </w:r>
    </w:p>
    <w:p w14:paraId="0D2061A1" w14:textId="126B6CE8" w:rsidR="00D309CC" w:rsidRPr="003E244D" w:rsidRDefault="00D309CC" w:rsidP="00D309CC">
      <w:pPr>
        <w:pStyle w:val="CH"/>
      </w:pPr>
      <w:r w:rsidRPr="003E244D">
        <w:t>Title:</w:t>
      </w:r>
      <w:r w:rsidRPr="003E244D">
        <w:tab/>
      </w:r>
      <w:r w:rsidR="00B65CD6" w:rsidRPr="00B65CD6">
        <w:t xml:space="preserve">Remaining issues with beam correspondence </w:t>
      </w:r>
      <w:r w:rsidR="00107E92" w:rsidRPr="00B65CD6">
        <w:t>enhancements</w:t>
      </w:r>
    </w:p>
    <w:p w14:paraId="052B1E0C" w14:textId="3424AC1E" w:rsidR="00104BC6" w:rsidRPr="003E244D" w:rsidRDefault="00104BC6" w:rsidP="00D309CC">
      <w:pPr>
        <w:pStyle w:val="CH"/>
      </w:pPr>
      <w:r w:rsidRPr="003E244D">
        <w:t>WI/SI:</w:t>
      </w:r>
      <w:r w:rsidRPr="003E244D">
        <w:tab/>
      </w:r>
      <w:r w:rsidR="00774153" w:rsidRPr="003E244D">
        <w:t>NR_RF_FR2_req_enh</w:t>
      </w:r>
    </w:p>
    <w:p w14:paraId="6C6D1281" w14:textId="1478D3ED" w:rsidR="00104BC6" w:rsidRPr="003E244D" w:rsidRDefault="00104BC6" w:rsidP="00D309CC">
      <w:pPr>
        <w:pStyle w:val="CH"/>
        <w:rPr>
          <w:b w:val="0"/>
        </w:rPr>
      </w:pPr>
      <w:r w:rsidRPr="003E244D">
        <w:t>Release:</w:t>
      </w:r>
      <w:r w:rsidRPr="003E244D">
        <w:tab/>
        <w:t>Rel-</w:t>
      </w:r>
      <w:r w:rsidR="00774153" w:rsidRPr="003E244D">
        <w:t>16</w:t>
      </w:r>
    </w:p>
    <w:p w14:paraId="2E4E044D" w14:textId="6DE869C2" w:rsidR="00D309CC" w:rsidRPr="003E244D" w:rsidRDefault="00D309CC" w:rsidP="00D309CC">
      <w:pPr>
        <w:pStyle w:val="CH"/>
      </w:pPr>
      <w:r w:rsidRPr="003E244D">
        <w:t>Document for:</w:t>
      </w:r>
      <w:r w:rsidRPr="003E244D">
        <w:tab/>
      </w:r>
      <w:r w:rsidR="00F731CE" w:rsidRPr="003E244D">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F46A787" w14:textId="40402105" w:rsidR="00D2126E" w:rsidRDefault="001C688A" w:rsidP="008E7986">
      <w:r w:rsidRPr="003E244D">
        <w:t xml:space="preserve">The work item on NR RF requirements for FR2 </w:t>
      </w:r>
      <w:r w:rsidRPr="003E244D">
        <w:fldChar w:fldCharType="begin"/>
      </w:r>
      <w:r w:rsidRPr="003E244D">
        <w:instrText xml:space="preserve"> REF _Ref24049351 \r \h </w:instrText>
      </w:r>
      <w:r w:rsidRPr="003E244D">
        <w:fldChar w:fldCharType="separate"/>
      </w:r>
      <w:r w:rsidR="00107E92">
        <w:t>[1]</w:t>
      </w:r>
      <w:r w:rsidRPr="003E244D">
        <w:fldChar w:fldCharType="end"/>
      </w:r>
      <w:r w:rsidRPr="003E244D">
        <w:t xml:space="preserve"> has made progress on the beam correspondence aspects </w:t>
      </w:r>
      <w:r w:rsidR="00295DB7">
        <w:t xml:space="preserve">during the RAN4 #96e meeting, </w:t>
      </w:r>
      <w:r w:rsidRPr="003E244D">
        <w:t xml:space="preserve">with </w:t>
      </w:r>
      <w:r w:rsidR="00295DB7">
        <w:t xml:space="preserve">the following agreements:  the feature CR in </w:t>
      </w:r>
      <w:r w:rsidR="00295DB7">
        <w:fldChar w:fldCharType="begin"/>
      </w:r>
      <w:r w:rsidR="00295DB7">
        <w:instrText xml:space="preserve"> REF _Ref54330594 \r \h </w:instrText>
      </w:r>
      <w:r w:rsidR="00295DB7">
        <w:fldChar w:fldCharType="separate"/>
      </w:r>
      <w:r w:rsidR="00107E92">
        <w:t>[2]</w:t>
      </w:r>
      <w:r w:rsidR="00295DB7">
        <w:fldChar w:fldCharType="end"/>
      </w:r>
      <w:r w:rsidR="00295DB7">
        <w:t xml:space="preserve">, text proposal with relevant technical background in </w:t>
      </w:r>
      <w:r w:rsidR="00295DB7">
        <w:fldChar w:fldCharType="begin"/>
      </w:r>
      <w:r w:rsidR="00295DB7">
        <w:instrText xml:space="preserve"> REF _Ref54330679 \r \h </w:instrText>
      </w:r>
      <w:r w:rsidR="00295DB7">
        <w:fldChar w:fldCharType="separate"/>
      </w:r>
      <w:r w:rsidR="00107E92">
        <w:t>[3]</w:t>
      </w:r>
      <w:r w:rsidR="00295DB7">
        <w:fldChar w:fldCharType="end"/>
      </w:r>
      <w:r w:rsidR="00295DB7">
        <w:t xml:space="preserve">, and the corresponding features in the RAN4 feature list </w:t>
      </w:r>
      <w:r w:rsidR="00295DB7">
        <w:fldChar w:fldCharType="begin"/>
      </w:r>
      <w:r w:rsidR="00295DB7">
        <w:instrText xml:space="preserve"> REF _Ref54330696 \r \h </w:instrText>
      </w:r>
      <w:r w:rsidR="00295DB7">
        <w:fldChar w:fldCharType="separate"/>
      </w:r>
      <w:r w:rsidR="00107E92">
        <w:t>[4]</w:t>
      </w:r>
      <w:r w:rsidR="00295DB7">
        <w:fldChar w:fldCharType="end"/>
      </w:r>
      <w:r w:rsidR="00295DB7">
        <w:t>.</w:t>
      </w:r>
    </w:p>
    <w:p w14:paraId="69BD6161" w14:textId="77777777" w:rsidR="006B7ADE" w:rsidRDefault="006B7ADE" w:rsidP="00E066F0"/>
    <w:p w14:paraId="7D729FEB" w14:textId="3DF669B9" w:rsidR="00E066F0" w:rsidRDefault="00295DB7" w:rsidP="00E066F0">
      <w:r>
        <w:t>The following open issues remain:</w:t>
      </w:r>
    </w:p>
    <w:p w14:paraId="482FBCD5" w14:textId="691E9D4D" w:rsidR="00295DB7" w:rsidRDefault="00295DB7" w:rsidP="00295DB7">
      <w:pPr>
        <w:pStyle w:val="B1"/>
      </w:pPr>
      <w:r>
        <w:t>-</w:t>
      </w:r>
      <w:r>
        <w:tab/>
      </w:r>
      <w:r>
        <w:t>How to define the PSD difference X between SSB and CSI-RS for FG8-3</w:t>
      </w:r>
    </w:p>
    <w:p w14:paraId="3142B726" w14:textId="772C83B7" w:rsidR="00295DB7" w:rsidRDefault="00295DB7" w:rsidP="00295DB7">
      <w:pPr>
        <w:pStyle w:val="B1"/>
      </w:pPr>
      <w:r>
        <w:t>-</w:t>
      </w:r>
      <w:r>
        <w:tab/>
      </w:r>
      <w:r>
        <w:t>How to define the applicability rule for the case when the UE supports both FG8-2 and FG8-3</w:t>
      </w:r>
    </w:p>
    <w:p w14:paraId="01C5F3F4" w14:textId="222C7D7B" w:rsidR="00295DB7" w:rsidRDefault="00295DB7" w:rsidP="00295DB7"/>
    <w:p w14:paraId="1FD6A71D" w14:textId="7B377194" w:rsidR="00295DB7" w:rsidRPr="003E244D" w:rsidRDefault="00295DB7" w:rsidP="00295DB7">
      <w:r>
        <w:t>This contribution provides our views on the open issues.</w:t>
      </w:r>
    </w:p>
    <w:p w14:paraId="108443D8" w14:textId="17DD2C67" w:rsidR="00295383" w:rsidRPr="00AF2BD7" w:rsidRDefault="008E7986" w:rsidP="00AF2BD7">
      <w:pPr>
        <w:pStyle w:val="Heading1"/>
        <w:rPr>
          <w:lang w:val="en-US"/>
        </w:rPr>
      </w:pPr>
      <w:r w:rsidRPr="003E244D">
        <w:rPr>
          <w:lang w:val="en-US"/>
        </w:rPr>
        <w:t>2</w:t>
      </w:r>
      <w:r w:rsidRPr="003E244D">
        <w:rPr>
          <w:lang w:val="en-US"/>
        </w:rPr>
        <w:tab/>
      </w:r>
      <w:r w:rsidR="00E024C7" w:rsidRPr="003E244D">
        <w:rPr>
          <w:lang w:val="en-US"/>
        </w:rPr>
        <w:t>Discussion</w:t>
      </w:r>
    </w:p>
    <w:p w14:paraId="5B603097" w14:textId="7C671A8E" w:rsidR="001B430B" w:rsidRDefault="00AF2BD7" w:rsidP="00C166C7">
      <w:r>
        <w:t>T</w:t>
      </w:r>
      <w:r w:rsidR="00295383">
        <w:t>he UE</w:t>
      </w:r>
      <w:r w:rsidR="0084594B">
        <w:t xml:space="preserve"> RF front end architecture</w:t>
      </w:r>
      <w:r w:rsidR="00295383">
        <w:t xml:space="preserve"> </w:t>
      </w:r>
      <w:r w:rsidR="00A676E9">
        <w:t>is</w:t>
      </w:r>
      <w:r w:rsidR="0084594B">
        <w:t xml:space="preserve"> designed with the assumption</w:t>
      </w:r>
      <w:r w:rsidR="00295383">
        <w:t xml:space="preserve"> that both SSB and CSI-RS signals are present, and the UE receiver has to accommodate any PSD difference between CSI-RS and SSB</w:t>
      </w:r>
      <w:r w:rsidR="0084594B">
        <w:t xml:space="preserve"> so that the baseband can demodulate both signals</w:t>
      </w:r>
      <w:r w:rsidR="00295383">
        <w:t>.  Thus, a test case side condition which introduces a PSD level difference between SSB and CSI-RS introduces a requirement on the receiver which may or may not be well aligned with real deployment conditions.</w:t>
      </w:r>
      <w:r w:rsidR="00A676E9">
        <w:t xml:space="preserve">  The UE receiver design has to accommodate this difference X in addition to other factors, such as handling the variability of the channel and the peak to average ratio of the PDCCH and PDSCH symbols</w:t>
      </w:r>
      <w:r w:rsidR="00A776ED">
        <w:t>.</w:t>
      </w:r>
    </w:p>
    <w:p w14:paraId="1A72A376" w14:textId="120A8F42" w:rsidR="00A776ED" w:rsidRDefault="00A776ED" w:rsidP="00C166C7"/>
    <w:p w14:paraId="19FEB7D7" w14:textId="3B22A146" w:rsidR="00FA5758" w:rsidRDefault="00DD37AD" w:rsidP="00C166C7">
      <w:r>
        <w:t xml:space="preserve">Considering the side conditions for </w:t>
      </w:r>
      <w:r w:rsidR="006A796F">
        <w:t xml:space="preserve">the requirement on </w:t>
      </w:r>
      <w:r>
        <w:t>BC based on CSI-RS, a QCL relationship between SSB and CSI-RS is not assumed.  However, physical collocation of the gNB antennas which transmit the SSB and gNB antennas which transmit the CSI-RS has to be assumed, since RRM requirements for the cell are defined based on measurements of the SSB.</w:t>
      </w:r>
      <w:r w:rsidR="00081986">
        <w:t xml:space="preserve">  Thus, from the perspective of network topology and gNB architecture, the value of X </w:t>
      </w:r>
      <w:r w:rsidR="00A32F65">
        <w:t xml:space="preserve">is determined by the PSD difference between SSB and CSI-RS at the gNB transmitter and by </w:t>
      </w:r>
      <w:r w:rsidR="00821380">
        <w:t xml:space="preserve">the </w:t>
      </w:r>
      <w:r w:rsidR="00A32F65">
        <w:t xml:space="preserve">difference in </w:t>
      </w:r>
      <w:r w:rsidR="00FA5758">
        <w:t>EIRP of the SSB and CSI-RS signals at the radiated interface boundary (RIB) of the gNB.  The path loss and antenna gain at UE Rx are the same for both signals.</w:t>
      </w:r>
      <w:r w:rsidR="009D0E1E">
        <w:t xml:space="preserve">  Considering the difference in EIRP of the SSB and CSI-RS signals at the RIB of the gNB</w:t>
      </w:r>
      <w:r w:rsidR="00D305D8">
        <w:t>, we question the efficacy of a network deployment which allows for a large PSD difference between these signals.</w:t>
      </w:r>
      <w:r w:rsidR="00FF1961">
        <w:t xml:space="preserve">  TR38.803 models BS antenna topology as 8x16 element arrays.  Depending on gNB implementation, a subset of the elements in the array can be allocated for SSB transmission, thereby yielding wider SSB beams with lower gain than a potentially larger subset of elements in the array allocated for PDSCH/CSI-RS transmission with narrower beams.  However, such a mapping </w:t>
      </w:r>
      <w:r w:rsidR="007806EC">
        <w:t xml:space="preserve">also yields differences in the peak EIRP between SSB and CSI-RS as well as spherical coverage over the angular range of the sector.  From the network planning perspective, a large imbalance between the spherical coverage of SSB and CSI-RS simply creates a zone within which </w:t>
      </w:r>
      <w:r w:rsidR="00445AEA">
        <w:t>UE demodulation performance and RRM performance might begin to diverge.</w:t>
      </w:r>
    </w:p>
    <w:p w14:paraId="28B94266" w14:textId="3442ACD8" w:rsidR="00FA5758" w:rsidRDefault="00FA5758" w:rsidP="00C166C7"/>
    <w:p w14:paraId="7ED42AED" w14:textId="1BC5C67A" w:rsidR="00A776ED" w:rsidRDefault="00445AEA" w:rsidP="00C166C7">
      <w:r>
        <w:t>Based on the above considerations, i</w:t>
      </w:r>
      <w:r w:rsidR="00A776ED">
        <w:t xml:space="preserve">t is not </w:t>
      </w:r>
      <w:r w:rsidR="00A776ED">
        <w:t>easy to</w:t>
      </w:r>
      <w:r w:rsidR="00A776ED">
        <w:t xml:space="preserve"> envision a scenario where the CSI-RS signal is significantly stronger than the SSB signal</w:t>
      </w:r>
      <w:r w:rsidR="00A776ED">
        <w:t xml:space="preserve"> in a real network deployment</w:t>
      </w:r>
      <w:r w:rsidR="00A776ED">
        <w:t xml:space="preserve">.  </w:t>
      </w:r>
      <w:r w:rsidR="00A776ED">
        <w:t>As</w:t>
      </w:r>
      <w:r w:rsidR="00A776ED">
        <w:t xml:space="preserve"> the UE performs scans of SSB to identify neighbor cells and, in the situation of a large imbalance between SSB and CSI-RS signals arriving from one cell,</w:t>
      </w:r>
      <w:r w:rsidR="00534086">
        <w:t xml:space="preserve"> it</w:t>
      </w:r>
      <w:r w:rsidR="00A776ED">
        <w:t xml:space="preserve"> is likely to find a different cell where the imbalance is lower and the SSB signal strength is greater.  Since RRM requirements for cell selection and reporting are based on SSB, it is not likely a large PSD imbalance between the SSB and CSI-RS signals is “typical.”</w:t>
      </w:r>
    </w:p>
    <w:p w14:paraId="0B07712C" w14:textId="77777777" w:rsidR="00295383" w:rsidRPr="00C166C7" w:rsidRDefault="00295383" w:rsidP="00C166C7"/>
    <w:p w14:paraId="469E207C" w14:textId="71F4622F" w:rsidR="00295383" w:rsidRDefault="00295383" w:rsidP="00295383">
      <w:pPr>
        <w:pStyle w:val="Proposal"/>
      </w:pPr>
      <w:bookmarkStart w:id="1" w:name="_Toc40439618"/>
      <w:bookmarkStart w:id="2" w:name="_Toc40439646"/>
      <w:bookmarkStart w:id="3" w:name="_Toc47634763"/>
      <w:bookmarkStart w:id="4" w:name="_Toc47705854"/>
      <w:bookmarkStart w:id="5" w:name="_Toc47705879"/>
      <w:bookmarkStart w:id="6" w:name="_Toc47706299"/>
      <w:bookmarkStart w:id="7" w:name="_Toc54330277"/>
      <w:bookmarkStart w:id="8" w:name="_Toc54340114"/>
      <w:bookmarkStart w:id="9" w:name="_Toc54340219"/>
      <w:bookmarkStart w:id="10" w:name="_Toc54340494"/>
      <w:r w:rsidRPr="003E244D">
        <w:t xml:space="preserve">Proposal </w:t>
      </w:r>
      <w:r w:rsidR="00010984">
        <w:t>1</w:t>
      </w:r>
      <w:r w:rsidRPr="003E244D">
        <w:t>:</w:t>
      </w:r>
      <w:r w:rsidRPr="003E244D">
        <w:tab/>
      </w:r>
      <w:r w:rsidR="00445AEA">
        <w:t xml:space="preserve">Select </w:t>
      </w:r>
      <w:r w:rsidR="008133D7">
        <w:t>X</w:t>
      </w:r>
      <w:r w:rsidR="00445AEA">
        <w:t xml:space="preserve"> = 3 dB for the BC based on CSI-RS side conditions</w:t>
      </w:r>
      <w:r>
        <w:t>.</w:t>
      </w:r>
      <w:bookmarkEnd w:id="1"/>
      <w:bookmarkEnd w:id="2"/>
      <w:bookmarkEnd w:id="3"/>
      <w:bookmarkEnd w:id="4"/>
      <w:bookmarkEnd w:id="5"/>
      <w:bookmarkEnd w:id="6"/>
      <w:bookmarkEnd w:id="7"/>
      <w:bookmarkEnd w:id="8"/>
      <w:bookmarkEnd w:id="9"/>
      <w:bookmarkEnd w:id="10"/>
    </w:p>
    <w:p w14:paraId="798BD942" w14:textId="77777777" w:rsidR="00D70167" w:rsidRPr="003E244D" w:rsidRDefault="00D70167" w:rsidP="00315619"/>
    <w:p w14:paraId="4D2A3D3B" w14:textId="5D38C010" w:rsidR="00D70167" w:rsidRDefault="00B96EEA" w:rsidP="00D70167">
      <w:r>
        <w:t xml:space="preserve">During the last RAN4 meeting there was </w:t>
      </w:r>
      <w:r w:rsidR="00DC376C">
        <w:t xml:space="preserve">discussion how to define the applicability rule for a UE which indicates it supports both eBC based SSB and eBC based on CSI-RS </w:t>
      </w:r>
      <w:r w:rsidR="00DC376C">
        <w:fldChar w:fldCharType="begin"/>
      </w:r>
      <w:r w:rsidR="00DC376C">
        <w:instrText xml:space="preserve"> REF _Ref54336584 \r \h </w:instrText>
      </w:r>
      <w:r w:rsidR="00DC376C">
        <w:fldChar w:fldCharType="separate"/>
      </w:r>
      <w:r w:rsidR="00107E92">
        <w:t>[5]</w:t>
      </w:r>
      <w:r w:rsidR="00DC376C">
        <w:fldChar w:fldCharType="end"/>
      </w:r>
      <w:r w:rsidR="00DC376C">
        <w:t xml:space="preserve">.  Since the CSI-RS side condition potentially introduces an additional design requirement for the UE receiver, this can differ significantly from the SSB side condition.  In general, we have the view that duplicating the testing effort is not a beneficial outcome for UEs which implement both capabilities, but defining an applicability rule which totally exempts the UE from verifying one of the capabilities is not </w:t>
      </w:r>
      <w:r w:rsidR="00DC376C">
        <w:lastRenderedPageBreak/>
        <w:t xml:space="preserve">the right way to develop the </w:t>
      </w:r>
      <w:r w:rsidR="00107E92">
        <w:t>specification</w:t>
      </w:r>
      <w:r w:rsidR="00DC376C">
        <w:t xml:space="preserve">.  Our preference is to define </w:t>
      </w:r>
      <w:r w:rsidR="00582F56">
        <w:t>core requirements based on a consistent interpretation of UE capabilities and to introduce an applicability rule for the verification.</w:t>
      </w:r>
      <w:r w:rsidR="0038532B">
        <w:t xml:space="preserve">  </w:t>
      </w:r>
    </w:p>
    <w:p w14:paraId="7FF25009" w14:textId="5D05239C" w:rsidR="00D70167" w:rsidRDefault="00D70167" w:rsidP="00D70167"/>
    <w:p w14:paraId="4A51AE6A" w14:textId="0E6E3606" w:rsidR="00D70167" w:rsidRDefault="00D70167" w:rsidP="00D70167">
      <w:pPr>
        <w:pStyle w:val="Proposal"/>
      </w:pPr>
      <w:bookmarkStart w:id="11" w:name="_Toc47705858"/>
      <w:bookmarkStart w:id="12" w:name="_Toc47705883"/>
      <w:bookmarkStart w:id="13" w:name="_Toc47706303"/>
      <w:bookmarkStart w:id="14" w:name="_Toc54330279"/>
      <w:bookmarkStart w:id="15" w:name="_Toc54340115"/>
      <w:bookmarkStart w:id="16" w:name="_Toc54340220"/>
      <w:bookmarkStart w:id="17" w:name="_Toc54340495"/>
      <w:r w:rsidRPr="003E244D">
        <w:t xml:space="preserve">Proposal </w:t>
      </w:r>
      <w:r w:rsidR="0038532B">
        <w:t>2</w:t>
      </w:r>
      <w:r w:rsidRPr="003E244D">
        <w:t>:</w:t>
      </w:r>
      <w:r w:rsidRPr="003E244D">
        <w:tab/>
      </w:r>
      <w:r w:rsidR="00582F56">
        <w:t xml:space="preserve">For UEs which support both eBC based on SSB and eBC based on CSI-RS, the UE RF core requirements </w:t>
      </w:r>
      <w:bookmarkEnd w:id="11"/>
      <w:bookmarkEnd w:id="12"/>
      <w:bookmarkEnd w:id="13"/>
      <w:bookmarkEnd w:id="14"/>
      <w:r w:rsidR="00582F56">
        <w:t>for both side conditions shall apply.</w:t>
      </w:r>
      <w:bookmarkEnd w:id="15"/>
      <w:bookmarkEnd w:id="16"/>
      <w:bookmarkEnd w:id="17"/>
    </w:p>
    <w:p w14:paraId="2933FBDA" w14:textId="77777777" w:rsidR="00D70167" w:rsidRDefault="00D70167" w:rsidP="00D70167"/>
    <w:p w14:paraId="49DDA5FD" w14:textId="041E251A" w:rsidR="00010984" w:rsidRDefault="0038532B" w:rsidP="00010984">
      <w:r>
        <w:t>Because beam correspondence is a fundamental capability of the UE and is a prerequisite for all TX RF requirements (i.e. if the UE cannot select the UL beam correctly, then it cannot meet TX requirements defined in 38.101-2), it is useful to differentiate the applicability of core requirements for beam correspondence (i.e. the UE’s ability to select UL beam based on certain side conditions) from beam correspondence performance verification by the virtue of the assumed side condition in the definition of a particular TX RF requirement.</w:t>
      </w:r>
    </w:p>
    <w:p w14:paraId="142E6951" w14:textId="77777777" w:rsidR="0038532B" w:rsidRDefault="0038532B" w:rsidP="00010984"/>
    <w:p w14:paraId="184F54F2" w14:textId="4F79A5D7" w:rsidR="0038532B" w:rsidRDefault="0038532B" w:rsidP="0038532B">
      <w:pPr>
        <w:pStyle w:val="Proposal"/>
      </w:pPr>
      <w:bookmarkStart w:id="18" w:name="_Toc54340116"/>
      <w:bookmarkStart w:id="19" w:name="_Toc54340221"/>
      <w:bookmarkStart w:id="20" w:name="_Toc54340496"/>
      <w:r w:rsidRPr="003E244D">
        <w:t xml:space="preserve">Proposal </w:t>
      </w:r>
      <w:r>
        <w:t>3</w:t>
      </w:r>
      <w:r w:rsidRPr="003E244D">
        <w:t>:</w:t>
      </w:r>
      <w:r w:rsidRPr="003E244D">
        <w:tab/>
      </w:r>
      <w:r>
        <w:t>For UEs which support both eBC based on SSB and eBC based on CSI-RS,</w:t>
      </w:r>
      <w:r>
        <w:t xml:space="preserve"> </w:t>
      </w:r>
      <w:r>
        <w:t xml:space="preserve">beam </w:t>
      </w:r>
      <w:r w:rsidR="00107E92">
        <w:t>correspondence</w:t>
      </w:r>
      <w:r>
        <w:t xml:space="preserve"> performance is verified based on SSB only side conditions for all applicable TX RF requirements, and, additionally,</w:t>
      </w:r>
      <w:r>
        <w:t xml:space="preserve"> for </w:t>
      </w:r>
      <w:r>
        <w:t>N EIRP points with EIRP ≥ 50%-tile minimum requirement are verified using the CSI-RS side condition.</w:t>
      </w:r>
      <w:bookmarkEnd w:id="18"/>
      <w:bookmarkEnd w:id="19"/>
      <w:bookmarkEnd w:id="20"/>
    </w:p>
    <w:p w14:paraId="46080222" w14:textId="65E87CC1" w:rsidR="00D7265E" w:rsidRDefault="00D7265E" w:rsidP="00B65CD6"/>
    <w:p w14:paraId="2306E7C2" w14:textId="3D4A7265" w:rsidR="0038532B" w:rsidRDefault="0038532B" w:rsidP="00B65CD6">
      <w:r>
        <w:t xml:space="preserve">The </w:t>
      </w:r>
      <w:r w:rsidR="00EC66DA">
        <w:t xml:space="preserve">intention of Proposal 3 is to balance </w:t>
      </w:r>
      <w:r w:rsidR="004065D2">
        <w:t xml:space="preserve">consistency in the specification with reasonable verification effort of the UE. In our understanding, the working group best equipped to make such a decision is RAN4, since many core RF requirements are </w:t>
      </w:r>
      <w:r w:rsidR="00107E92">
        <w:t>verified</w:t>
      </w:r>
      <w:r w:rsidR="004065D2">
        <w:t xml:space="preserve">, according to the RAN5 conformance specification, over a </w:t>
      </w:r>
      <w:r w:rsidR="00107E92">
        <w:t>subset</w:t>
      </w:r>
      <w:r w:rsidR="004065D2">
        <w:t xml:space="preserve"> of test points.</w:t>
      </w:r>
    </w:p>
    <w:p w14:paraId="42E4CAFB" w14:textId="350DBC89" w:rsidR="004065D2" w:rsidRDefault="004065D2" w:rsidP="00B65CD6"/>
    <w:p w14:paraId="79255804" w14:textId="5164DBAC" w:rsidR="004065D2" w:rsidRDefault="004065D2" w:rsidP="004065D2">
      <w:pPr>
        <w:pStyle w:val="Proposal"/>
      </w:pPr>
      <w:bookmarkStart w:id="21" w:name="_Toc54340117"/>
      <w:bookmarkStart w:id="22" w:name="_Toc54340222"/>
      <w:bookmarkStart w:id="23" w:name="_Toc54340497"/>
      <w:r w:rsidRPr="003E244D">
        <w:t xml:space="preserve">Proposal </w:t>
      </w:r>
      <w:r>
        <w:t>4</w:t>
      </w:r>
      <w:r w:rsidRPr="003E244D">
        <w:t>:</w:t>
      </w:r>
      <w:r w:rsidRPr="003E244D">
        <w:tab/>
      </w:r>
      <w:r>
        <w:t>An LS informing RAN5 of the eBC applicability rule is needed, so that the information can be taken into account during their work on defining the conformance test specification.</w:t>
      </w:r>
      <w:bookmarkEnd w:id="21"/>
      <w:bookmarkEnd w:id="22"/>
      <w:bookmarkEnd w:id="23"/>
    </w:p>
    <w:p w14:paraId="6B06A643" w14:textId="75AAB328" w:rsidR="004065D2" w:rsidRDefault="004065D2" w:rsidP="00B65CD6"/>
    <w:p w14:paraId="30A7FD58" w14:textId="086D4E0C" w:rsidR="00596902" w:rsidRDefault="00596902" w:rsidP="00B65CD6">
      <w:r>
        <w:t>Based on Proposal 4, the following LS text is proposed:</w:t>
      </w:r>
    </w:p>
    <w:p w14:paraId="6457E7AB" w14:textId="1B5F65A3" w:rsidR="00596902" w:rsidRDefault="00596902" w:rsidP="00B65CD6"/>
    <w:p w14:paraId="35CAE1E0" w14:textId="35BE95D8" w:rsidR="00596902" w:rsidRPr="0035482B" w:rsidRDefault="009F1B1C" w:rsidP="00B65CD6">
      <w:pPr>
        <w:rPr>
          <w:color w:val="FF0000"/>
        </w:rPr>
      </w:pPr>
      <w:r w:rsidRPr="0035482B">
        <w:rPr>
          <w:color w:val="FF0000"/>
        </w:rPr>
        <w:t>&lt;&lt; begin text proposal &gt;&gt;</w:t>
      </w:r>
    </w:p>
    <w:p w14:paraId="6B873EC8" w14:textId="3F58FFAE" w:rsidR="009F1B1C" w:rsidRDefault="009F1B1C" w:rsidP="00B65CD6"/>
    <w:p w14:paraId="54558F60" w14:textId="01FEC626" w:rsidR="009F1B1C" w:rsidRDefault="009F1B1C" w:rsidP="00B65CD6">
      <w:r>
        <w:t>1. Overall Description:</w:t>
      </w:r>
      <w:bookmarkStart w:id="24" w:name="_GoBack"/>
      <w:bookmarkEnd w:id="24"/>
    </w:p>
    <w:p w14:paraId="30688FC3" w14:textId="427CF75D" w:rsidR="009F1B1C" w:rsidRDefault="009F1B1C" w:rsidP="00B65CD6"/>
    <w:p w14:paraId="4F2A8EBB" w14:textId="221773F8" w:rsidR="001F68C4" w:rsidRDefault="001F68C4" w:rsidP="00B65CD6">
      <w:r>
        <w:t xml:space="preserve">RAN4 would like to update RAN5 on the progress of introducing </w:t>
      </w:r>
      <w:r w:rsidR="00B76E61">
        <w:t>requirements for enhanced beam correspondence in Rel-16.  RAN4 has defined two new UE capabilities associated with the feature with the following descriptions:</w:t>
      </w:r>
    </w:p>
    <w:p w14:paraId="78C8A7DD" w14:textId="44DCC105" w:rsidR="00B76E61" w:rsidRDefault="00B76E61" w:rsidP="00B65CD6"/>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454"/>
        <w:gridCol w:w="655"/>
        <w:gridCol w:w="2413"/>
        <w:gridCol w:w="606"/>
        <w:gridCol w:w="457"/>
        <w:gridCol w:w="454"/>
        <w:gridCol w:w="655"/>
        <w:gridCol w:w="605"/>
        <w:gridCol w:w="504"/>
        <w:gridCol w:w="505"/>
        <w:gridCol w:w="454"/>
        <w:gridCol w:w="756"/>
        <w:gridCol w:w="1008"/>
      </w:tblGrid>
      <w:tr w:rsidR="00B76E61" w:rsidRPr="00B76E61" w14:paraId="077DEABE" w14:textId="77777777" w:rsidTr="00B76E61">
        <w:trPr>
          <w:trHeight w:val="20"/>
        </w:trPr>
        <w:tc>
          <w:tcPr>
            <w:tcW w:w="554" w:type="dxa"/>
            <w:shd w:val="clear" w:color="auto" w:fill="auto"/>
          </w:tcPr>
          <w:p w14:paraId="6531A8F5" w14:textId="77777777" w:rsidR="00B76E61" w:rsidRPr="00B76E61" w:rsidRDefault="00B76E61" w:rsidP="00D421C2">
            <w:pPr>
              <w:pStyle w:val="TAH"/>
              <w:rPr>
                <w:rFonts w:cs="Arial"/>
                <w:sz w:val="12"/>
                <w:szCs w:val="12"/>
              </w:rPr>
            </w:pPr>
            <w:bookmarkStart w:id="25" w:name="_Hlk36199639"/>
            <w:r w:rsidRPr="00B76E61">
              <w:rPr>
                <w:rFonts w:cs="Arial"/>
                <w:sz w:val="12"/>
                <w:szCs w:val="12"/>
              </w:rPr>
              <w:lastRenderedPageBreak/>
              <w:t>Features</w:t>
            </w:r>
          </w:p>
        </w:tc>
        <w:tc>
          <w:tcPr>
            <w:tcW w:w="454" w:type="dxa"/>
            <w:shd w:val="clear" w:color="auto" w:fill="auto"/>
          </w:tcPr>
          <w:p w14:paraId="3D2BA9DA" w14:textId="77777777" w:rsidR="00B76E61" w:rsidRPr="00B76E61" w:rsidRDefault="00B76E61" w:rsidP="00D421C2">
            <w:pPr>
              <w:pStyle w:val="TAH"/>
              <w:rPr>
                <w:rFonts w:cs="Arial"/>
                <w:sz w:val="12"/>
                <w:szCs w:val="12"/>
              </w:rPr>
            </w:pPr>
            <w:r w:rsidRPr="00B76E61">
              <w:rPr>
                <w:rFonts w:cs="Arial"/>
                <w:sz w:val="12"/>
                <w:szCs w:val="12"/>
              </w:rPr>
              <w:t>Index</w:t>
            </w:r>
          </w:p>
        </w:tc>
        <w:tc>
          <w:tcPr>
            <w:tcW w:w="655" w:type="dxa"/>
            <w:shd w:val="clear" w:color="auto" w:fill="auto"/>
          </w:tcPr>
          <w:p w14:paraId="4F1FEAC8" w14:textId="77777777" w:rsidR="00B76E61" w:rsidRPr="00B76E61" w:rsidRDefault="00B76E61" w:rsidP="00D421C2">
            <w:pPr>
              <w:pStyle w:val="TAH"/>
              <w:rPr>
                <w:rFonts w:cs="Arial"/>
                <w:sz w:val="12"/>
                <w:szCs w:val="12"/>
              </w:rPr>
            </w:pPr>
            <w:r w:rsidRPr="00B76E61">
              <w:rPr>
                <w:rFonts w:cs="Arial"/>
                <w:sz w:val="12"/>
                <w:szCs w:val="12"/>
              </w:rPr>
              <w:t>Feature group</w:t>
            </w:r>
          </w:p>
        </w:tc>
        <w:tc>
          <w:tcPr>
            <w:tcW w:w="2413" w:type="dxa"/>
            <w:shd w:val="clear" w:color="auto" w:fill="auto"/>
          </w:tcPr>
          <w:p w14:paraId="167EEBA7" w14:textId="77777777" w:rsidR="00B76E61" w:rsidRPr="00B76E61" w:rsidRDefault="00B76E61" w:rsidP="00D421C2">
            <w:pPr>
              <w:pStyle w:val="TAH"/>
              <w:rPr>
                <w:rFonts w:cs="Arial"/>
                <w:sz w:val="12"/>
                <w:szCs w:val="12"/>
              </w:rPr>
            </w:pPr>
            <w:r w:rsidRPr="00B76E61">
              <w:rPr>
                <w:rFonts w:cs="Arial"/>
                <w:sz w:val="12"/>
                <w:szCs w:val="12"/>
              </w:rPr>
              <w:t>Components</w:t>
            </w:r>
          </w:p>
        </w:tc>
        <w:tc>
          <w:tcPr>
            <w:tcW w:w="606" w:type="dxa"/>
            <w:shd w:val="clear" w:color="auto" w:fill="auto"/>
          </w:tcPr>
          <w:p w14:paraId="1E2315D9" w14:textId="77777777" w:rsidR="00B76E61" w:rsidRPr="00B76E61" w:rsidRDefault="00B76E61" w:rsidP="00D421C2">
            <w:pPr>
              <w:pStyle w:val="TAH"/>
              <w:rPr>
                <w:rFonts w:cs="Arial"/>
                <w:sz w:val="12"/>
                <w:szCs w:val="12"/>
              </w:rPr>
            </w:pPr>
            <w:r w:rsidRPr="00B76E61">
              <w:rPr>
                <w:rFonts w:cs="Arial"/>
                <w:sz w:val="12"/>
                <w:szCs w:val="12"/>
              </w:rPr>
              <w:t>Prerequisite feature groups</w:t>
            </w:r>
          </w:p>
        </w:tc>
        <w:tc>
          <w:tcPr>
            <w:tcW w:w="457" w:type="dxa"/>
            <w:shd w:val="clear" w:color="auto" w:fill="auto"/>
          </w:tcPr>
          <w:p w14:paraId="4309F7CE" w14:textId="77777777" w:rsidR="00B76E61" w:rsidRPr="00B76E61" w:rsidRDefault="00B76E61" w:rsidP="00D421C2">
            <w:pPr>
              <w:pStyle w:val="TAH"/>
              <w:rPr>
                <w:rFonts w:cs="Arial"/>
                <w:sz w:val="12"/>
                <w:szCs w:val="12"/>
              </w:rPr>
            </w:pPr>
            <w:r w:rsidRPr="00B76E61">
              <w:rPr>
                <w:rFonts w:cs="Arial"/>
                <w:sz w:val="12"/>
                <w:szCs w:val="12"/>
              </w:rPr>
              <w:t>Need for the gNB to know if the feature is supported</w:t>
            </w:r>
          </w:p>
        </w:tc>
        <w:tc>
          <w:tcPr>
            <w:tcW w:w="454" w:type="dxa"/>
            <w:shd w:val="clear" w:color="auto" w:fill="auto"/>
          </w:tcPr>
          <w:p w14:paraId="707468BC" w14:textId="77777777" w:rsidR="00B76E61" w:rsidRPr="00B76E61" w:rsidRDefault="00B76E61" w:rsidP="00D421C2">
            <w:pPr>
              <w:pStyle w:val="TAH"/>
              <w:rPr>
                <w:rFonts w:cs="Arial"/>
                <w:sz w:val="12"/>
                <w:szCs w:val="12"/>
              </w:rPr>
            </w:pPr>
            <w:r w:rsidRPr="00B76E61">
              <w:rPr>
                <w:rFonts w:eastAsia="Gulim" w:cs="Arial"/>
                <w:color w:val="000000" w:themeColor="text1"/>
                <w:sz w:val="12"/>
                <w:szCs w:val="12"/>
              </w:rPr>
              <w:t xml:space="preserve">Applicable to </w:t>
            </w:r>
            <w:r w:rsidRPr="00B76E61">
              <w:rPr>
                <w:rFonts w:cs="Arial"/>
                <w:color w:val="000000" w:themeColor="text1"/>
                <w:sz w:val="12"/>
                <w:szCs w:val="12"/>
              </w:rPr>
              <w:t>the capability signalling exchange between UEs (V2X WI only)”.</w:t>
            </w:r>
          </w:p>
        </w:tc>
        <w:tc>
          <w:tcPr>
            <w:tcW w:w="655" w:type="dxa"/>
          </w:tcPr>
          <w:p w14:paraId="3CE2D867" w14:textId="77777777" w:rsidR="00B76E61" w:rsidRPr="00B76E61" w:rsidRDefault="00B76E61" w:rsidP="00D421C2">
            <w:pPr>
              <w:pStyle w:val="TAN"/>
              <w:ind w:left="0" w:firstLine="0"/>
              <w:rPr>
                <w:rFonts w:cs="Arial"/>
                <w:b/>
                <w:sz w:val="12"/>
                <w:szCs w:val="12"/>
                <w:lang w:eastAsia="ja-JP"/>
              </w:rPr>
            </w:pPr>
            <w:r w:rsidRPr="00B76E61">
              <w:rPr>
                <w:rFonts w:cs="Arial"/>
                <w:b/>
                <w:sz w:val="12"/>
                <w:szCs w:val="12"/>
                <w:lang w:eastAsia="ja-JP"/>
              </w:rPr>
              <w:t>Consequence if the feature is not supported by the UE</w:t>
            </w:r>
          </w:p>
        </w:tc>
        <w:tc>
          <w:tcPr>
            <w:tcW w:w="605" w:type="dxa"/>
            <w:shd w:val="clear" w:color="auto" w:fill="auto"/>
          </w:tcPr>
          <w:p w14:paraId="6594B4AB" w14:textId="77777777" w:rsidR="00B76E61" w:rsidRPr="00B76E61" w:rsidRDefault="00B76E61" w:rsidP="00D421C2">
            <w:pPr>
              <w:pStyle w:val="TAN"/>
              <w:ind w:left="0" w:firstLine="0"/>
              <w:rPr>
                <w:rFonts w:cs="Arial"/>
                <w:b/>
                <w:sz w:val="12"/>
                <w:szCs w:val="12"/>
                <w:lang w:eastAsia="ja-JP"/>
              </w:rPr>
            </w:pPr>
            <w:r w:rsidRPr="00B76E61">
              <w:rPr>
                <w:rFonts w:cs="Arial"/>
                <w:b/>
                <w:sz w:val="12"/>
                <w:szCs w:val="12"/>
                <w:lang w:eastAsia="ja-JP"/>
              </w:rPr>
              <w:t>Type</w:t>
            </w:r>
          </w:p>
          <w:p w14:paraId="14E3E861" w14:textId="77777777" w:rsidR="00B76E61" w:rsidRPr="00B76E61" w:rsidRDefault="00B76E61" w:rsidP="00D421C2">
            <w:pPr>
              <w:pStyle w:val="TAN"/>
              <w:ind w:left="0" w:firstLine="0"/>
              <w:rPr>
                <w:rFonts w:cs="Arial"/>
                <w:b/>
                <w:sz w:val="12"/>
                <w:szCs w:val="12"/>
                <w:lang w:eastAsia="ja-JP"/>
              </w:rPr>
            </w:pPr>
            <w:r w:rsidRPr="00B76E61">
              <w:rPr>
                <w:rFonts w:cs="Arial"/>
                <w:b/>
                <w:sz w:val="12"/>
                <w:szCs w:val="12"/>
                <w:lang w:eastAsia="ja-JP"/>
              </w:rPr>
              <w:t>(the ‘type’ definition from UE features should be based on the granularity of 1) Per UE or 2) Per Band or 3) Per BC or 4) Per FS or 5) Per FSPC)</w:t>
            </w:r>
          </w:p>
        </w:tc>
        <w:tc>
          <w:tcPr>
            <w:tcW w:w="504" w:type="dxa"/>
            <w:shd w:val="clear" w:color="auto" w:fill="auto"/>
          </w:tcPr>
          <w:p w14:paraId="06568611" w14:textId="77777777" w:rsidR="00B76E61" w:rsidRPr="00B76E61" w:rsidRDefault="00B76E61" w:rsidP="00D421C2">
            <w:pPr>
              <w:pStyle w:val="TAH"/>
              <w:rPr>
                <w:rFonts w:cs="Arial"/>
                <w:sz w:val="12"/>
                <w:szCs w:val="12"/>
              </w:rPr>
            </w:pPr>
            <w:r w:rsidRPr="00B76E61">
              <w:rPr>
                <w:rFonts w:cs="Arial"/>
                <w:sz w:val="12"/>
                <w:szCs w:val="12"/>
              </w:rPr>
              <w:t>Need of FDD/TDD differentiation</w:t>
            </w:r>
          </w:p>
        </w:tc>
        <w:tc>
          <w:tcPr>
            <w:tcW w:w="505" w:type="dxa"/>
            <w:shd w:val="clear" w:color="auto" w:fill="auto"/>
          </w:tcPr>
          <w:p w14:paraId="4061EFD3" w14:textId="77777777" w:rsidR="00B76E61" w:rsidRPr="00B76E61" w:rsidRDefault="00B76E61" w:rsidP="00D421C2">
            <w:pPr>
              <w:pStyle w:val="TAH"/>
              <w:rPr>
                <w:rFonts w:cs="Arial"/>
                <w:sz w:val="12"/>
                <w:szCs w:val="12"/>
              </w:rPr>
            </w:pPr>
            <w:r w:rsidRPr="00B76E61">
              <w:rPr>
                <w:rFonts w:cs="Arial"/>
                <w:sz w:val="12"/>
                <w:szCs w:val="12"/>
              </w:rPr>
              <w:t>Need of FR1/FR2 differentiation</w:t>
            </w:r>
          </w:p>
        </w:tc>
        <w:tc>
          <w:tcPr>
            <w:tcW w:w="454" w:type="dxa"/>
          </w:tcPr>
          <w:p w14:paraId="083A4D98" w14:textId="77777777" w:rsidR="00B76E61" w:rsidRPr="00B76E61" w:rsidRDefault="00B76E61" w:rsidP="00D421C2">
            <w:pPr>
              <w:pStyle w:val="TAH"/>
              <w:rPr>
                <w:rFonts w:cs="Arial"/>
                <w:sz w:val="12"/>
                <w:szCs w:val="12"/>
              </w:rPr>
            </w:pPr>
            <w:r w:rsidRPr="00B76E61">
              <w:rPr>
                <w:rFonts w:cs="Arial"/>
                <w:sz w:val="12"/>
                <w:szCs w:val="12"/>
              </w:rPr>
              <w:t>Capability interpretation for mixture of FDD/TDD and/or FR1/FR2</w:t>
            </w:r>
          </w:p>
        </w:tc>
        <w:tc>
          <w:tcPr>
            <w:tcW w:w="756" w:type="dxa"/>
            <w:shd w:val="clear" w:color="auto" w:fill="auto"/>
          </w:tcPr>
          <w:p w14:paraId="3FBF6ED3" w14:textId="77777777" w:rsidR="00B76E61" w:rsidRPr="00B76E61" w:rsidRDefault="00B76E61" w:rsidP="00D421C2">
            <w:pPr>
              <w:pStyle w:val="TAH"/>
              <w:rPr>
                <w:rFonts w:cs="Arial"/>
                <w:sz w:val="12"/>
                <w:szCs w:val="12"/>
              </w:rPr>
            </w:pPr>
            <w:r w:rsidRPr="00B76E61">
              <w:rPr>
                <w:rFonts w:cs="Arial"/>
                <w:sz w:val="12"/>
                <w:szCs w:val="12"/>
              </w:rPr>
              <w:t>Note</w:t>
            </w:r>
          </w:p>
        </w:tc>
        <w:tc>
          <w:tcPr>
            <w:tcW w:w="1008" w:type="dxa"/>
            <w:shd w:val="clear" w:color="auto" w:fill="auto"/>
          </w:tcPr>
          <w:p w14:paraId="2E0B6DBE" w14:textId="77777777" w:rsidR="00B76E61" w:rsidRPr="00B76E61" w:rsidRDefault="00B76E61" w:rsidP="00D421C2">
            <w:pPr>
              <w:pStyle w:val="TAH"/>
              <w:rPr>
                <w:rFonts w:cs="Arial"/>
                <w:sz w:val="12"/>
                <w:szCs w:val="12"/>
              </w:rPr>
            </w:pPr>
            <w:r w:rsidRPr="00B76E61">
              <w:rPr>
                <w:rFonts w:cs="Arial"/>
                <w:sz w:val="12"/>
                <w:szCs w:val="12"/>
              </w:rPr>
              <w:t>Mandatory/Optional</w:t>
            </w:r>
          </w:p>
        </w:tc>
      </w:tr>
      <w:tr w:rsidR="00B76E61" w:rsidRPr="00B76E61" w14:paraId="5FB43A88" w14:textId="77777777" w:rsidTr="008A12EF">
        <w:trPr>
          <w:trHeight w:val="20"/>
        </w:trPr>
        <w:tc>
          <w:tcPr>
            <w:tcW w:w="554" w:type="dxa"/>
            <w:vMerge w:val="restart"/>
            <w:shd w:val="clear" w:color="auto" w:fill="auto"/>
          </w:tcPr>
          <w:p w14:paraId="04A330E7" w14:textId="77777777" w:rsidR="00B76E61" w:rsidRPr="00B76E61" w:rsidRDefault="00B76E61" w:rsidP="00D421C2">
            <w:pPr>
              <w:pStyle w:val="TAL"/>
              <w:rPr>
                <w:rFonts w:cs="Arial"/>
                <w:sz w:val="12"/>
                <w:szCs w:val="12"/>
                <w:lang w:eastAsia="ja-JP"/>
              </w:rPr>
            </w:pPr>
            <w:r w:rsidRPr="00B76E61">
              <w:rPr>
                <w:rFonts w:cs="Arial"/>
                <w:sz w:val="12"/>
                <w:szCs w:val="12"/>
                <w:lang w:eastAsia="ja-JP"/>
              </w:rPr>
              <w:t>8. NR RF Requirement Enhancements for FR2</w:t>
            </w:r>
          </w:p>
        </w:tc>
        <w:tc>
          <w:tcPr>
            <w:tcW w:w="454" w:type="dxa"/>
            <w:shd w:val="clear" w:color="auto" w:fill="auto"/>
          </w:tcPr>
          <w:p w14:paraId="0397B20A" w14:textId="050306B2" w:rsidR="00B76E61" w:rsidRPr="00B76E61" w:rsidRDefault="00B76E61" w:rsidP="00D421C2">
            <w:pPr>
              <w:pStyle w:val="TAL"/>
              <w:rPr>
                <w:rFonts w:cs="Arial"/>
                <w:sz w:val="12"/>
                <w:szCs w:val="12"/>
                <w:lang w:eastAsia="ja-JP"/>
              </w:rPr>
            </w:pPr>
            <w:r w:rsidRPr="00B76E61">
              <w:rPr>
                <w:rFonts w:eastAsia="MS Mincho" w:cs="Arial"/>
                <w:sz w:val="12"/>
                <w:szCs w:val="12"/>
              </w:rPr>
              <w:t>8-</w:t>
            </w:r>
            <w:r w:rsidRPr="00B76E61">
              <w:rPr>
                <w:rFonts w:cs="Arial" w:hint="eastAsia"/>
                <w:sz w:val="12"/>
                <w:szCs w:val="12"/>
                <w:lang w:eastAsia="zh-CN"/>
              </w:rPr>
              <w:t>2</w:t>
            </w:r>
          </w:p>
        </w:tc>
        <w:tc>
          <w:tcPr>
            <w:tcW w:w="655" w:type="dxa"/>
            <w:shd w:val="clear" w:color="auto" w:fill="auto"/>
          </w:tcPr>
          <w:p w14:paraId="6D95CBDF" w14:textId="7617651E" w:rsidR="00B76E61" w:rsidRPr="00B76E61" w:rsidRDefault="00B76E61" w:rsidP="00D421C2">
            <w:pPr>
              <w:pStyle w:val="TAL"/>
              <w:rPr>
                <w:rFonts w:eastAsia="SimSun" w:cs="Arial"/>
                <w:sz w:val="12"/>
                <w:szCs w:val="12"/>
                <w:lang w:eastAsia="zh-CN"/>
              </w:rPr>
            </w:pPr>
            <w:r w:rsidRPr="00B76E61">
              <w:rPr>
                <w:rFonts w:cs="Arial" w:hint="eastAsia"/>
                <w:sz w:val="12"/>
                <w:szCs w:val="12"/>
                <w:lang w:eastAsia="zh-CN"/>
              </w:rPr>
              <w:t xml:space="preserve">SSB based </w:t>
            </w:r>
            <w:r w:rsidRPr="00B76E61">
              <w:rPr>
                <w:rFonts w:eastAsia="MS Mincho" w:cs="Arial"/>
                <w:sz w:val="12"/>
                <w:szCs w:val="12"/>
              </w:rPr>
              <w:t>Beam correspondence</w:t>
            </w:r>
          </w:p>
        </w:tc>
        <w:tc>
          <w:tcPr>
            <w:tcW w:w="2413" w:type="dxa"/>
            <w:shd w:val="clear" w:color="auto" w:fill="auto"/>
          </w:tcPr>
          <w:p w14:paraId="7A8F22AF" w14:textId="77777777" w:rsidR="00B76E61" w:rsidRPr="00B76E61" w:rsidRDefault="00B76E61" w:rsidP="00D421C2">
            <w:pPr>
              <w:autoSpaceDE w:val="0"/>
              <w:autoSpaceDN w:val="0"/>
              <w:adjustRightInd w:val="0"/>
              <w:snapToGrid w:val="0"/>
              <w:spacing w:afterLines="50" w:after="120"/>
              <w:contextualSpacing/>
              <w:jc w:val="both"/>
              <w:rPr>
                <w:rFonts w:ascii="Arial" w:hAnsi="Arial" w:cs="Arial"/>
                <w:sz w:val="12"/>
                <w:szCs w:val="12"/>
              </w:rPr>
            </w:pPr>
            <w:r w:rsidRPr="00B76E61">
              <w:rPr>
                <w:rFonts w:ascii="Arial" w:hAnsi="Arial" w:cs="Arial"/>
                <w:sz w:val="12"/>
                <w:szCs w:val="12"/>
              </w:rPr>
              <w:t>Support for beam correspondence based on SSB</w:t>
            </w:r>
          </w:p>
          <w:p w14:paraId="60329E44" w14:textId="77777777" w:rsidR="00B76E61" w:rsidRPr="00B76E61" w:rsidRDefault="00B76E61" w:rsidP="00D421C2">
            <w:pPr>
              <w:autoSpaceDE w:val="0"/>
              <w:autoSpaceDN w:val="0"/>
              <w:adjustRightInd w:val="0"/>
              <w:snapToGrid w:val="0"/>
              <w:spacing w:afterLines="50" w:after="120"/>
              <w:contextualSpacing/>
              <w:jc w:val="both"/>
              <w:rPr>
                <w:rFonts w:ascii="Arial" w:hAnsi="Arial" w:cs="Arial"/>
                <w:sz w:val="12"/>
                <w:szCs w:val="12"/>
              </w:rPr>
            </w:pPr>
            <w:r w:rsidRPr="00B76E61">
              <w:rPr>
                <w:rFonts w:ascii="Arial" w:hAnsi="Arial" w:cs="Arial"/>
                <w:sz w:val="12"/>
                <w:szCs w:val="12"/>
              </w:rPr>
              <w:t>A UE indicating support for beam correspondence based on SSB has the ability to select its uplink beam based on measurements of SSB.</w:t>
            </w:r>
          </w:p>
          <w:p w14:paraId="10EE78F0" w14:textId="77777777" w:rsidR="00B76E61" w:rsidRPr="00B76E61" w:rsidRDefault="00B76E61" w:rsidP="00D421C2">
            <w:pPr>
              <w:autoSpaceDE w:val="0"/>
              <w:autoSpaceDN w:val="0"/>
              <w:adjustRightInd w:val="0"/>
              <w:snapToGrid w:val="0"/>
              <w:spacing w:afterLines="50" w:after="120"/>
              <w:contextualSpacing/>
              <w:jc w:val="both"/>
              <w:rPr>
                <w:rFonts w:ascii="Arial" w:eastAsiaTheme="minorEastAsia" w:hAnsi="Arial" w:cs="Arial"/>
                <w:sz w:val="12"/>
                <w:szCs w:val="12"/>
                <w:lang w:eastAsia="zh-CN"/>
              </w:rPr>
            </w:pPr>
          </w:p>
          <w:p w14:paraId="27A247AF" w14:textId="77777777" w:rsidR="00B76E61" w:rsidRPr="00B76E61" w:rsidRDefault="00B76E61" w:rsidP="00D421C2">
            <w:pPr>
              <w:autoSpaceDE w:val="0"/>
              <w:autoSpaceDN w:val="0"/>
              <w:adjustRightInd w:val="0"/>
              <w:snapToGrid w:val="0"/>
              <w:spacing w:afterLines="50" w:after="120"/>
              <w:contextualSpacing/>
              <w:jc w:val="both"/>
              <w:rPr>
                <w:rFonts w:ascii="Arial" w:eastAsiaTheme="minorEastAsia" w:hAnsi="Arial" w:cs="Arial"/>
                <w:i/>
                <w:sz w:val="12"/>
                <w:szCs w:val="12"/>
                <w:lang w:eastAsia="zh-CN"/>
              </w:rPr>
            </w:pPr>
            <w:r w:rsidRPr="00B76E61">
              <w:rPr>
                <w:rFonts w:ascii="Arial" w:eastAsiaTheme="minorEastAsia" w:hAnsi="Arial" w:cs="Arial"/>
                <w:sz w:val="12"/>
                <w:szCs w:val="12"/>
                <w:lang w:eastAsia="zh-CN"/>
              </w:rPr>
              <w:t xml:space="preserve">Supported by UEs with capability </w:t>
            </w:r>
            <w:r w:rsidRPr="00B76E61">
              <w:rPr>
                <w:rFonts w:ascii="Arial" w:eastAsiaTheme="minorEastAsia" w:hAnsi="Arial" w:cs="Arial"/>
                <w:i/>
                <w:sz w:val="12"/>
                <w:szCs w:val="12"/>
                <w:lang w:eastAsia="zh-CN"/>
              </w:rPr>
              <w:t>beamCorrespondenceWithoutUL-BeamSweeping = {0,1}</w:t>
            </w:r>
          </w:p>
          <w:p w14:paraId="17A4DCC5" w14:textId="77777777" w:rsidR="00B76E61" w:rsidRPr="00B76E61" w:rsidRDefault="00B76E61" w:rsidP="00D421C2">
            <w:pPr>
              <w:autoSpaceDE w:val="0"/>
              <w:autoSpaceDN w:val="0"/>
              <w:adjustRightInd w:val="0"/>
              <w:snapToGrid w:val="0"/>
              <w:spacing w:afterLines="50" w:after="120"/>
              <w:contextualSpacing/>
              <w:jc w:val="both"/>
              <w:rPr>
                <w:rFonts w:ascii="Arial" w:eastAsiaTheme="minorEastAsia" w:hAnsi="Arial" w:cs="Arial"/>
                <w:sz w:val="12"/>
                <w:szCs w:val="12"/>
                <w:lang w:eastAsia="zh-CN"/>
              </w:rPr>
            </w:pPr>
          </w:p>
          <w:p w14:paraId="755DB101" w14:textId="2AB61D07" w:rsidR="00B76E61" w:rsidRPr="00B76E61" w:rsidRDefault="00B76E61" w:rsidP="00D421C2">
            <w:pPr>
              <w:autoSpaceDE w:val="0"/>
              <w:autoSpaceDN w:val="0"/>
              <w:adjustRightInd w:val="0"/>
              <w:snapToGrid w:val="0"/>
              <w:spacing w:afterLines="50" w:after="120"/>
              <w:contextualSpacing/>
              <w:jc w:val="both"/>
              <w:rPr>
                <w:rFonts w:ascii="Arial" w:hAnsi="Arial" w:cs="Arial"/>
                <w:sz w:val="12"/>
                <w:szCs w:val="12"/>
              </w:rPr>
            </w:pPr>
            <w:r w:rsidRPr="00B76E61">
              <w:rPr>
                <w:rFonts w:ascii="Arial" w:eastAsiaTheme="minorEastAsia" w:hAnsi="Arial" w:cs="Arial"/>
                <w:sz w:val="12"/>
                <w:szCs w:val="12"/>
                <w:lang w:eastAsia="zh-CN"/>
              </w:rPr>
              <w:t>If a UE supports beam correspondence based on SSB, then the network can expect the UE to also fulfill Rel-15 beam correspondence requirements.</w:t>
            </w:r>
          </w:p>
        </w:tc>
        <w:tc>
          <w:tcPr>
            <w:tcW w:w="606" w:type="dxa"/>
            <w:shd w:val="clear" w:color="auto" w:fill="auto"/>
          </w:tcPr>
          <w:p w14:paraId="265C5E83" w14:textId="77777777" w:rsidR="00B76E61" w:rsidRPr="00B76E61" w:rsidRDefault="00B76E61" w:rsidP="00D421C2">
            <w:pPr>
              <w:pStyle w:val="TAL"/>
              <w:rPr>
                <w:rFonts w:cs="Arial"/>
                <w:sz w:val="12"/>
                <w:szCs w:val="12"/>
              </w:rPr>
            </w:pPr>
          </w:p>
        </w:tc>
        <w:tc>
          <w:tcPr>
            <w:tcW w:w="457" w:type="dxa"/>
            <w:shd w:val="clear" w:color="auto" w:fill="auto"/>
          </w:tcPr>
          <w:p w14:paraId="40A297D7" w14:textId="1AF77F36" w:rsidR="00B76E61" w:rsidRPr="00B76E61" w:rsidRDefault="00B76E61" w:rsidP="00D421C2">
            <w:pPr>
              <w:pStyle w:val="TAL"/>
              <w:jc w:val="both"/>
              <w:rPr>
                <w:rFonts w:cs="Arial"/>
                <w:sz w:val="12"/>
                <w:szCs w:val="12"/>
                <w:lang w:eastAsia="ja-JP"/>
              </w:rPr>
            </w:pPr>
            <w:r w:rsidRPr="00B76E61">
              <w:rPr>
                <w:rFonts w:eastAsia="SimSun" w:cs="Arial" w:hint="eastAsia"/>
                <w:sz w:val="12"/>
                <w:szCs w:val="12"/>
                <w:lang w:eastAsia="zh-CN"/>
              </w:rPr>
              <w:t>Y</w:t>
            </w:r>
            <w:r w:rsidRPr="00B76E61">
              <w:rPr>
                <w:rFonts w:eastAsia="SimSun" w:cs="Arial"/>
                <w:sz w:val="12"/>
                <w:szCs w:val="12"/>
                <w:lang w:eastAsia="zh-CN"/>
              </w:rPr>
              <w:t>es</w:t>
            </w:r>
          </w:p>
        </w:tc>
        <w:tc>
          <w:tcPr>
            <w:tcW w:w="454" w:type="dxa"/>
            <w:shd w:val="clear" w:color="auto" w:fill="auto"/>
          </w:tcPr>
          <w:p w14:paraId="38A7DB30" w14:textId="3195F532" w:rsidR="00B76E61" w:rsidRPr="00B76E61" w:rsidRDefault="00B76E61" w:rsidP="00D421C2">
            <w:pPr>
              <w:pStyle w:val="TAL"/>
              <w:rPr>
                <w:rFonts w:eastAsia="MS Mincho" w:cs="Arial"/>
                <w:sz w:val="12"/>
                <w:szCs w:val="12"/>
                <w:lang w:eastAsia="ja-JP"/>
              </w:rPr>
            </w:pPr>
            <w:r w:rsidRPr="00B76E61">
              <w:rPr>
                <w:rFonts w:eastAsia="MS Mincho" w:cs="Arial" w:hint="eastAsia"/>
                <w:sz w:val="12"/>
                <w:szCs w:val="12"/>
                <w:lang w:eastAsia="ja-JP"/>
              </w:rPr>
              <w:t>N/</w:t>
            </w:r>
            <w:r w:rsidRPr="00B76E61">
              <w:rPr>
                <w:rFonts w:eastAsia="MS Mincho" w:cs="Arial"/>
                <w:sz w:val="12"/>
                <w:szCs w:val="12"/>
                <w:lang w:eastAsia="ja-JP"/>
              </w:rPr>
              <w:t>A</w:t>
            </w:r>
          </w:p>
        </w:tc>
        <w:tc>
          <w:tcPr>
            <w:tcW w:w="655" w:type="dxa"/>
            <w:shd w:val="clear" w:color="auto" w:fill="auto"/>
          </w:tcPr>
          <w:p w14:paraId="66C045CA" w14:textId="77777777" w:rsidR="00B76E61" w:rsidRPr="00B76E61" w:rsidRDefault="00B76E61" w:rsidP="00D421C2">
            <w:pPr>
              <w:rPr>
                <w:rFonts w:ascii="Helvetica" w:hAnsi="Helvetica"/>
                <w:color w:val="000000"/>
                <w:sz w:val="12"/>
                <w:szCs w:val="12"/>
              </w:rPr>
            </w:pPr>
            <w:r w:rsidRPr="00B76E61">
              <w:rPr>
                <w:rFonts w:ascii="Helvetica" w:hAnsi="Helvetica"/>
                <w:color w:val="000000"/>
                <w:sz w:val="12"/>
                <w:szCs w:val="12"/>
              </w:rPr>
              <w:t>If UE indicates it supports neither FG 8-2 nor FG 8-3, then the network can expect the UE to fulfill beam correspondence based on Rel-15 beam correspondence requirements.</w:t>
            </w:r>
          </w:p>
          <w:p w14:paraId="1A90903D" w14:textId="60EC5D33" w:rsidR="00B76E61" w:rsidRPr="00B76E61" w:rsidRDefault="00B76E61" w:rsidP="00D421C2">
            <w:pPr>
              <w:pStyle w:val="TAL"/>
              <w:rPr>
                <w:rFonts w:eastAsia="SimSun" w:cs="Arial"/>
                <w:sz w:val="12"/>
                <w:szCs w:val="12"/>
                <w:lang w:eastAsia="zh-CN"/>
              </w:rPr>
            </w:pPr>
          </w:p>
        </w:tc>
        <w:tc>
          <w:tcPr>
            <w:tcW w:w="605" w:type="dxa"/>
            <w:shd w:val="clear" w:color="auto" w:fill="auto"/>
          </w:tcPr>
          <w:p w14:paraId="36FA38CC" w14:textId="00D84BFB" w:rsidR="00B76E61" w:rsidRPr="00B76E61" w:rsidRDefault="00B76E61" w:rsidP="00D421C2">
            <w:pPr>
              <w:pStyle w:val="TAL"/>
              <w:rPr>
                <w:rFonts w:eastAsia="SimSun" w:cs="Arial"/>
                <w:sz w:val="12"/>
                <w:szCs w:val="12"/>
                <w:lang w:eastAsia="zh-CN"/>
              </w:rPr>
            </w:pPr>
            <w:r w:rsidRPr="00B76E61">
              <w:rPr>
                <w:rFonts w:cs="Arial"/>
                <w:sz w:val="12"/>
                <w:szCs w:val="12"/>
                <w:lang w:eastAsia="ja-JP"/>
              </w:rPr>
              <w:t>per band</w:t>
            </w:r>
          </w:p>
        </w:tc>
        <w:tc>
          <w:tcPr>
            <w:tcW w:w="504" w:type="dxa"/>
            <w:shd w:val="clear" w:color="auto" w:fill="auto"/>
          </w:tcPr>
          <w:p w14:paraId="3861AC46" w14:textId="3F93B9B1" w:rsidR="00B76E61" w:rsidRPr="00B76E61" w:rsidRDefault="00B76E61" w:rsidP="00D421C2">
            <w:pPr>
              <w:pStyle w:val="TAL"/>
              <w:rPr>
                <w:rFonts w:cs="Arial"/>
                <w:sz w:val="12"/>
                <w:szCs w:val="12"/>
                <w:lang w:eastAsia="ja-JP"/>
              </w:rPr>
            </w:pPr>
            <w:r w:rsidRPr="00B76E61">
              <w:rPr>
                <w:rFonts w:cs="Arial"/>
                <w:sz w:val="12"/>
                <w:szCs w:val="12"/>
                <w:lang w:eastAsia="ja-JP"/>
              </w:rPr>
              <w:t>TDD only</w:t>
            </w:r>
          </w:p>
        </w:tc>
        <w:tc>
          <w:tcPr>
            <w:tcW w:w="505" w:type="dxa"/>
            <w:shd w:val="clear" w:color="auto" w:fill="auto"/>
          </w:tcPr>
          <w:p w14:paraId="161ABBD2" w14:textId="5371AB5C" w:rsidR="00B76E61" w:rsidRPr="00B76E61" w:rsidRDefault="00B76E61" w:rsidP="00D421C2">
            <w:pPr>
              <w:pStyle w:val="TAL"/>
              <w:rPr>
                <w:rFonts w:cs="Arial"/>
                <w:sz w:val="12"/>
                <w:szCs w:val="12"/>
                <w:lang w:eastAsia="ja-JP"/>
              </w:rPr>
            </w:pPr>
            <w:r w:rsidRPr="00B76E61">
              <w:rPr>
                <w:rFonts w:cs="Arial"/>
                <w:sz w:val="12"/>
                <w:szCs w:val="12"/>
                <w:lang w:eastAsia="ja-JP"/>
              </w:rPr>
              <w:t>FR2 only</w:t>
            </w:r>
          </w:p>
        </w:tc>
        <w:tc>
          <w:tcPr>
            <w:tcW w:w="454" w:type="dxa"/>
          </w:tcPr>
          <w:p w14:paraId="1AA41838" w14:textId="6FC16FFD" w:rsidR="00B76E61" w:rsidRPr="00B76E61" w:rsidRDefault="00B76E61" w:rsidP="00D421C2">
            <w:pPr>
              <w:pStyle w:val="TAL"/>
              <w:jc w:val="center"/>
              <w:rPr>
                <w:rFonts w:cs="Arial"/>
                <w:sz w:val="12"/>
                <w:szCs w:val="12"/>
              </w:rPr>
            </w:pPr>
            <w:r w:rsidRPr="00B76E61">
              <w:rPr>
                <w:rFonts w:cs="Arial"/>
                <w:sz w:val="12"/>
                <w:szCs w:val="12"/>
              </w:rPr>
              <w:t>N/A</w:t>
            </w:r>
          </w:p>
        </w:tc>
        <w:tc>
          <w:tcPr>
            <w:tcW w:w="756" w:type="dxa"/>
            <w:shd w:val="clear" w:color="auto" w:fill="auto"/>
          </w:tcPr>
          <w:p w14:paraId="2441E746" w14:textId="77777777" w:rsidR="00B76E61" w:rsidRPr="00B76E61" w:rsidRDefault="00B76E61" w:rsidP="00D421C2">
            <w:pPr>
              <w:pStyle w:val="TAL"/>
              <w:rPr>
                <w:rFonts w:cs="Arial"/>
                <w:sz w:val="12"/>
                <w:szCs w:val="12"/>
              </w:rPr>
            </w:pPr>
          </w:p>
        </w:tc>
        <w:tc>
          <w:tcPr>
            <w:tcW w:w="1008" w:type="dxa"/>
            <w:shd w:val="clear" w:color="auto" w:fill="auto"/>
          </w:tcPr>
          <w:p w14:paraId="0F52347C" w14:textId="66B57A98" w:rsidR="00B76E61" w:rsidRPr="00B76E61" w:rsidRDefault="00B76E61" w:rsidP="00D421C2">
            <w:pPr>
              <w:pStyle w:val="TAL"/>
              <w:rPr>
                <w:rFonts w:eastAsia="SimSun" w:cs="Arial"/>
                <w:sz w:val="12"/>
                <w:szCs w:val="12"/>
                <w:lang w:eastAsia="zh-CN"/>
              </w:rPr>
            </w:pPr>
            <w:r w:rsidRPr="00B76E61">
              <w:rPr>
                <w:rFonts w:eastAsia="SimSun" w:cs="Arial"/>
                <w:sz w:val="12"/>
                <w:szCs w:val="12"/>
                <w:lang w:eastAsia="zh-CN"/>
              </w:rPr>
              <w:t>Optional with capability signalling</w:t>
            </w:r>
          </w:p>
        </w:tc>
      </w:tr>
      <w:tr w:rsidR="00B76E61" w:rsidRPr="00B76E61" w14:paraId="4D5092C8" w14:textId="77777777" w:rsidTr="008A12EF">
        <w:trPr>
          <w:trHeight w:val="20"/>
        </w:trPr>
        <w:tc>
          <w:tcPr>
            <w:tcW w:w="554" w:type="dxa"/>
            <w:vMerge/>
            <w:shd w:val="clear" w:color="auto" w:fill="auto"/>
          </w:tcPr>
          <w:p w14:paraId="20366A2B" w14:textId="77777777" w:rsidR="00B76E61" w:rsidRPr="00B76E61" w:rsidRDefault="00B76E61" w:rsidP="00D421C2">
            <w:pPr>
              <w:pStyle w:val="TAL"/>
              <w:rPr>
                <w:rFonts w:cs="Arial"/>
                <w:sz w:val="12"/>
                <w:szCs w:val="12"/>
              </w:rPr>
            </w:pPr>
          </w:p>
        </w:tc>
        <w:tc>
          <w:tcPr>
            <w:tcW w:w="454" w:type="dxa"/>
            <w:shd w:val="clear" w:color="auto" w:fill="auto"/>
          </w:tcPr>
          <w:p w14:paraId="6293C9A3" w14:textId="6B382149" w:rsidR="00B76E61" w:rsidRPr="00B76E61" w:rsidRDefault="00B76E61" w:rsidP="00D421C2">
            <w:pPr>
              <w:pStyle w:val="TAL"/>
              <w:rPr>
                <w:rFonts w:cs="Arial"/>
                <w:sz w:val="12"/>
                <w:szCs w:val="12"/>
                <w:lang w:eastAsia="zh-CN"/>
              </w:rPr>
            </w:pPr>
            <w:r w:rsidRPr="00B76E61">
              <w:rPr>
                <w:rFonts w:eastAsia="MS Mincho" w:cs="Arial"/>
                <w:sz w:val="12"/>
                <w:szCs w:val="12"/>
              </w:rPr>
              <w:t>8-</w:t>
            </w:r>
            <w:r w:rsidRPr="00B76E61">
              <w:rPr>
                <w:rFonts w:cs="Arial" w:hint="eastAsia"/>
                <w:sz w:val="12"/>
                <w:szCs w:val="12"/>
                <w:lang w:eastAsia="zh-CN"/>
              </w:rPr>
              <w:t>3</w:t>
            </w:r>
          </w:p>
        </w:tc>
        <w:tc>
          <w:tcPr>
            <w:tcW w:w="655" w:type="dxa"/>
            <w:shd w:val="clear" w:color="auto" w:fill="auto"/>
          </w:tcPr>
          <w:p w14:paraId="5AAB6022" w14:textId="3BB388F1" w:rsidR="00B76E61" w:rsidRPr="00B76E61" w:rsidRDefault="00B76E61" w:rsidP="00D421C2">
            <w:pPr>
              <w:pStyle w:val="TAL"/>
              <w:rPr>
                <w:rFonts w:eastAsia="SimSun" w:cs="Arial"/>
                <w:sz w:val="12"/>
                <w:szCs w:val="12"/>
                <w:lang w:eastAsia="zh-CN"/>
              </w:rPr>
            </w:pPr>
            <w:r w:rsidRPr="00B76E61">
              <w:rPr>
                <w:rFonts w:cs="Arial" w:hint="eastAsia"/>
                <w:sz w:val="12"/>
                <w:szCs w:val="12"/>
                <w:lang w:eastAsia="zh-CN"/>
              </w:rPr>
              <w:t xml:space="preserve">CSI-RS based </w:t>
            </w:r>
            <w:r w:rsidRPr="00B76E61">
              <w:rPr>
                <w:rFonts w:eastAsia="MS Mincho" w:cs="Arial"/>
                <w:sz w:val="12"/>
                <w:szCs w:val="12"/>
              </w:rPr>
              <w:t>Beam correspondence</w:t>
            </w:r>
          </w:p>
        </w:tc>
        <w:tc>
          <w:tcPr>
            <w:tcW w:w="2413" w:type="dxa"/>
            <w:shd w:val="clear" w:color="auto" w:fill="auto"/>
          </w:tcPr>
          <w:p w14:paraId="234F381D" w14:textId="77777777" w:rsidR="00B76E61" w:rsidRPr="00B76E61" w:rsidRDefault="00B76E61" w:rsidP="00D421C2">
            <w:pPr>
              <w:autoSpaceDE w:val="0"/>
              <w:autoSpaceDN w:val="0"/>
              <w:adjustRightInd w:val="0"/>
              <w:snapToGrid w:val="0"/>
              <w:spacing w:afterLines="50" w:after="120"/>
              <w:contextualSpacing/>
              <w:jc w:val="both"/>
              <w:rPr>
                <w:rFonts w:ascii="Arial" w:hAnsi="Arial" w:cs="Arial"/>
                <w:sz w:val="12"/>
                <w:szCs w:val="12"/>
              </w:rPr>
            </w:pPr>
            <w:r w:rsidRPr="00B76E61">
              <w:rPr>
                <w:rFonts w:ascii="Arial" w:hAnsi="Arial" w:cs="Arial"/>
                <w:sz w:val="12"/>
                <w:szCs w:val="12"/>
              </w:rPr>
              <w:t>Support for beam correspondence based on CSI-RS</w:t>
            </w:r>
          </w:p>
          <w:p w14:paraId="3128867B" w14:textId="77777777" w:rsidR="00B76E61" w:rsidRPr="00B76E61" w:rsidRDefault="00B76E61" w:rsidP="00D421C2">
            <w:pPr>
              <w:autoSpaceDE w:val="0"/>
              <w:autoSpaceDN w:val="0"/>
              <w:adjustRightInd w:val="0"/>
              <w:snapToGrid w:val="0"/>
              <w:spacing w:afterLines="50" w:after="120"/>
              <w:contextualSpacing/>
              <w:jc w:val="both"/>
              <w:rPr>
                <w:rFonts w:ascii="Arial" w:hAnsi="Arial" w:cs="Arial"/>
                <w:sz w:val="12"/>
                <w:szCs w:val="12"/>
              </w:rPr>
            </w:pPr>
            <w:r w:rsidRPr="00B76E61">
              <w:rPr>
                <w:rFonts w:ascii="Arial" w:hAnsi="Arial" w:cs="Arial"/>
                <w:sz w:val="12"/>
                <w:szCs w:val="12"/>
              </w:rPr>
              <w:t>A UE indicating support for beam correspondence based on CSI-RS has the ability to select its uplink beam based on measurements of CSI-RS in scenarios when the SSB PSD is X dB below CSI-RS PSD.</w:t>
            </w:r>
          </w:p>
          <w:p w14:paraId="7ABBDD45" w14:textId="77777777" w:rsidR="00B76E61" w:rsidRPr="00B76E61" w:rsidRDefault="00B76E61" w:rsidP="00D421C2">
            <w:pPr>
              <w:autoSpaceDE w:val="0"/>
              <w:autoSpaceDN w:val="0"/>
              <w:adjustRightInd w:val="0"/>
              <w:snapToGrid w:val="0"/>
              <w:spacing w:afterLines="50" w:after="120"/>
              <w:contextualSpacing/>
              <w:jc w:val="both"/>
              <w:rPr>
                <w:rFonts w:ascii="Arial" w:eastAsiaTheme="minorEastAsia" w:hAnsi="Arial" w:cs="Arial"/>
                <w:sz w:val="12"/>
                <w:szCs w:val="12"/>
                <w:lang w:eastAsia="zh-CN"/>
              </w:rPr>
            </w:pPr>
          </w:p>
          <w:p w14:paraId="14248FF0" w14:textId="77777777" w:rsidR="00B76E61" w:rsidRPr="00B76E61" w:rsidRDefault="00B76E61" w:rsidP="00D421C2">
            <w:pPr>
              <w:autoSpaceDE w:val="0"/>
              <w:autoSpaceDN w:val="0"/>
              <w:adjustRightInd w:val="0"/>
              <w:snapToGrid w:val="0"/>
              <w:spacing w:afterLines="50" w:after="120"/>
              <w:contextualSpacing/>
              <w:jc w:val="both"/>
              <w:rPr>
                <w:rFonts w:ascii="Arial" w:eastAsiaTheme="minorEastAsia" w:hAnsi="Arial" w:cs="Arial"/>
                <w:sz w:val="12"/>
                <w:szCs w:val="12"/>
                <w:lang w:eastAsia="zh-CN"/>
              </w:rPr>
            </w:pPr>
            <w:r w:rsidRPr="00B76E61">
              <w:rPr>
                <w:rFonts w:ascii="Arial" w:eastAsiaTheme="minorEastAsia" w:hAnsi="Arial" w:cs="Arial"/>
                <w:sz w:val="12"/>
                <w:szCs w:val="12"/>
                <w:lang w:eastAsia="zh-CN"/>
              </w:rPr>
              <w:t>Supported by UEs with capability beamCorrespondenceWithoutUL-BeamSweeping = {0,1}</w:t>
            </w:r>
          </w:p>
          <w:p w14:paraId="59B2A501" w14:textId="77777777" w:rsidR="00B76E61" w:rsidRPr="00B76E61" w:rsidRDefault="00B76E61" w:rsidP="00D421C2">
            <w:pPr>
              <w:autoSpaceDE w:val="0"/>
              <w:autoSpaceDN w:val="0"/>
              <w:adjustRightInd w:val="0"/>
              <w:snapToGrid w:val="0"/>
              <w:spacing w:afterLines="50" w:after="120"/>
              <w:contextualSpacing/>
              <w:jc w:val="both"/>
              <w:rPr>
                <w:rFonts w:ascii="Arial" w:eastAsiaTheme="minorEastAsia" w:hAnsi="Arial" w:cs="Arial"/>
                <w:sz w:val="12"/>
                <w:szCs w:val="12"/>
                <w:lang w:eastAsia="zh-CN"/>
              </w:rPr>
            </w:pPr>
          </w:p>
          <w:p w14:paraId="2AEAB91A" w14:textId="357107C2" w:rsidR="00B76E61" w:rsidRPr="00B76E61" w:rsidRDefault="00B76E61" w:rsidP="00D421C2">
            <w:pPr>
              <w:autoSpaceDE w:val="0"/>
              <w:autoSpaceDN w:val="0"/>
              <w:adjustRightInd w:val="0"/>
              <w:snapToGrid w:val="0"/>
              <w:spacing w:afterLines="50" w:after="120"/>
              <w:contextualSpacing/>
              <w:jc w:val="both"/>
              <w:rPr>
                <w:rFonts w:ascii="Arial" w:hAnsi="Arial" w:cs="Arial"/>
                <w:sz w:val="12"/>
                <w:szCs w:val="12"/>
                <w:highlight w:val="yellow"/>
              </w:rPr>
            </w:pPr>
            <w:r w:rsidRPr="00B76E61">
              <w:rPr>
                <w:rFonts w:ascii="Arial" w:eastAsiaTheme="minorEastAsia" w:hAnsi="Arial" w:cs="Arial"/>
                <w:sz w:val="12"/>
                <w:szCs w:val="12"/>
                <w:lang w:eastAsia="zh-CN"/>
              </w:rPr>
              <w:t>If a UE supports beam correspondence based on CSI-RS, then the network can expect the UE to also fulfill Rel-15 beam correspondence requirements.</w:t>
            </w:r>
          </w:p>
        </w:tc>
        <w:tc>
          <w:tcPr>
            <w:tcW w:w="606" w:type="dxa"/>
            <w:shd w:val="clear" w:color="auto" w:fill="auto"/>
          </w:tcPr>
          <w:p w14:paraId="09CBEB85" w14:textId="77777777" w:rsidR="00B76E61" w:rsidRPr="00B76E61" w:rsidRDefault="00B76E61" w:rsidP="00D421C2">
            <w:pPr>
              <w:pStyle w:val="TAL"/>
              <w:rPr>
                <w:rFonts w:eastAsia="MS Mincho" w:cs="Arial"/>
                <w:sz w:val="12"/>
                <w:szCs w:val="12"/>
                <w:lang w:eastAsia="ja-JP"/>
              </w:rPr>
            </w:pPr>
          </w:p>
        </w:tc>
        <w:tc>
          <w:tcPr>
            <w:tcW w:w="457" w:type="dxa"/>
            <w:shd w:val="clear" w:color="auto" w:fill="auto"/>
          </w:tcPr>
          <w:p w14:paraId="6F171552" w14:textId="502BD3CA" w:rsidR="00B76E61" w:rsidRPr="00B76E61" w:rsidRDefault="00B76E61" w:rsidP="00D421C2">
            <w:pPr>
              <w:pStyle w:val="TAL"/>
              <w:jc w:val="both"/>
              <w:rPr>
                <w:rFonts w:cs="Arial"/>
                <w:sz w:val="12"/>
                <w:szCs w:val="12"/>
                <w:lang w:eastAsia="ja-JP"/>
              </w:rPr>
            </w:pPr>
            <w:r w:rsidRPr="00B76E61">
              <w:rPr>
                <w:rFonts w:eastAsia="SimSun" w:cs="Arial" w:hint="eastAsia"/>
                <w:sz w:val="12"/>
                <w:szCs w:val="12"/>
                <w:lang w:eastAsia="zh-CN"/>
              </w:rPr>
              <w:t>Y</w:t>
            </w:r>
            <w:r w:rsidRPr="00B76E61">
              <w:rPr>
                <w:rFonts w:eastAsia="SimSun" w:cs="Arial"/>
                <w:sz w:val="12"/>
                <w:szCs w:val="12"/>
                <w:lang w:eastAsia="zh-CN"/>
              </w:rPr>
              <w:t>es</w:t>
            </w:r>
          </w:p>
        </w:tc>
        <w:tc>
          <w:tcPr>
            <w:tcW w:w="454" w:type="dxa"/>
            <w:shd w:val="clear" w:color="auto" w:fill="auto"/>
          </w:tcPr>
          <w:p w14:paraId="6399D9FB" w14:textId="1E326039" w:rsidR="00B76E61" w:rsidRPr="00B76E61" w:rsidRDefault="00B76E61" w:rsidP="00D421C2">
            <w:pPr>
              <w:pStyle w:val="TAL"/>
              <w:rPr>
                <w:rFonts w:cs="Arial"/>
                <w:sz w:val="12"/>
                <w:szCs w:val="12"/>
                <w:lang w:eastAsia="ja-JP"/>
              </w:rPr>
            </w:pPr>
            <w:r w:rsidRPr="00B76E61">
              <w:rPr>
                <w:rFonts w:eastAsia="MS Mincho" w:cs="Arial" w:hint="eastAsia"/>
                <w:sz w:val="12"/>
                <w:szCs w:val="12"/>
                <w:lang w:eastAsia="ja-JP"/>
              </w:rPr>
              <w:t>N/</w:t>
            </w:r>
            <w:r w:rsidRPr="00B76E61">
              <w:rPr>
                <w:rFonts w:eastAsia="MS Mincho" w:cs="Arial"/>
                <w:sz w:val="12"/>
                <w:szCs w:val="12"/>
                <w:lang w:eastAsia="ja-JP"/>
              </w:rPr>
              <w:t>A</w:t>
            </w:r>
          </w:p>
        </w:tc>
        <w:tc>
          <w:tcPr>
            <w:tcW w:w="655" w:type="dxa"/>
            <w:shd w:val="clear" w:color="auto" w:fill="auto"/>
          </w:tcPr>
          <w:p w14:paraId="2D3DAF20" w14:textId="0DA21CFD" w:rsidR="00B76E61" w:rsidRPr="00B76E61" w:rsidRDefault="00B76E61" w:rsidP="00D421C2">
            <w:pPr>
              <w:pStyle w:val="TAL"/>
              <w:rPr>
                <w:rFonts w:eastAsia="Malgun Gothic" w:cs="Arial"/>
                <w:sz w:val="12"/>
                <w:szCs w:val="12"/>
                <w:lang w:eastAsia="ko-KR"/>
              </w:rPr>
            </w:pPr>
            <w:r w:rsidRPr="00B76E61">
              <w:rPr>
                <w:rFonts w:ascii="Helvetica" w:hAnsi="Helvetica"/>
                <w:color w:val="000000"/>
                <w:sz w:val="12"/>
                <w:szCs w:val="12"/>
              </w:rPr>
              <w:t>If UE indicates it supports neither FG 8-2 nor FG 8-3, then the network can expect the UE to fulfill beam correspondence based on Rel-15 beam correspondence requirements.</w:t>
            </w:r>
          </w:p>
        </w:tc>
        <w:tc>
          <w:tcPr>
            <w:tcW w:w="605" w:type="dxa"/>
            <w:shd w:val="clear" w:color="auto" w:fill="auto"/>
          </w:tcPr>
          <w:p w14:paraId="32742489" w14:textId="46115487" w:rsidR="00B76E61" w:rsidRPr="00B76E61" w:rsidRDefault="00B76E61" w:rsidP="00D421C2">
            <w:pPr>
              <w:pStyle w:val="TAL"/>
              <w:rPr>
                <w:rFonts w:cs="Arial"/>
                <w:sz w:val="12"/>
                <w:szCs w:val="12"/>
                <w:lang w:eastAsia="ja-JP"/>
              </w:rPr>
            </w:pPr>
            <w:r w:rsidRPr="00B76E61">
              <w:rPr>
                <w:rFonts w:cs="Arial"/>
                <w:sz w:val="12"/>
                <w:szCs w:val="12"/>
                <w:lang w:eastAsia="ja-JP"/>
              </w:rPr>
              <w:t>per band</w:t>
            </w:r>
          </w:p>
        </w:tc>
        <w:tc>
          <w:tcPr>
            <w:tcW w:w="504" w:type="dxa"/>
            <w:shd w:val="clear" w:color="auto" w:fill="auto"/>
          </w:tcPr>
          <w:p w14:paraId="2CAA614E" w14:textId="5726662A" w:rsidR="00B76E61" w:rsidRPr="00B76E61" w:rsidRDefault="00B76E61" w:rsidP="00D421C2">
            <w:pPr>
              <w:pStyle w:val="TAL"/>
              <w:rPr>
                <w:rFonts w:cs="Arial"/>
                <w:sz w:val="12"/>
                <w:szCs w:val="12"/>
                <w:lang w:eastAsia="ja-JP"/>
              </w:rPr>
            </w:pPr>
            <w:r w:rsidRPr="00B76E61">
              <w:rPr>
                <w:rFonts w:cs="Arial"/>
                <w:sz w:val="12"/>
                <w:szCs w:val="12"/>
                <w:lang w:eastAsia="ja-JP"/>
              </w:rPr>
              <w:t>TDD only</w:t>
            </w:r>
          </w:p>
        </w:tc>
        <w:tc>
          <w:tcPr>
            <w:tcW w:w="505" w:type="dxa"/>
            <w:shd w:val="clear" w:color="auto" w:fill="auto"/>
          </w:tcPr>
          <w:p w14:paraId="1F63B665" w14:textId="2A4D285E" w:rsidR="00B76E61" w:rsidRPr="00B76E61" w:rsidRDefault="00B76E61" w:rsidP="00D421C2">
            <w:pPr>
              <w:pStyle w:val="TAL"/>
              <w:rPr>
                <w:rFonts w:cs="Arial"/>
                <w:sz w:val="12"/>
                <w:szCs w:val="12"/>
                <w:lang w:eastAsia="ja-JP"/>
              </w:rPr>
            </w:pPr>
            <w:r w:rsidRPr="00B76E61">
              <w:rPr>
                <w:rFonts w:cs="Arial"/>
                <w:sz w:val="12"/>
                <w:szCs w:val="12"/>
                <w:lang w:eastAsia="ja-JP"/>
              </w:rPr>
              <w:t>FR2 only</w:t>
            </w:r>
          </w:p>
        </w:tc>
        <w:tc>
          <w:tcPr>
            <w:tcW w:w="454" w:type="dxa"/>
          </w:tcPr>
          <w:p w14:paraId="4F58F7FD" w14:textId="7402EB16" w:rsidR="00B76E61" w:rsidRPr="00B76E61" w:rsidRDefault="00B76E61" w:rsidP="00D421C2">
            <w:pPr>
              <w:pStyle w:val="TAL"/>
              <w:jc w:val="center"/>
              <w:rPr>
                <w:rFonts w:cs="Arial"/>
                <w:sz w:val="12"/>
                <w:szCs w:val="12"/>
              </w:rPr>
            </w:pPr>
            <w:r w:rsidRPr="00B76E61">
              <w:rPr>
                <w:rFonts w:cs="Arial"/>
                <w:sz w:val="12"/>
                <w:szCs w:val="12"/>
              </w:rPr>
              <w:t>N/A</w:t>
            </w:r>
          </w:p>
        </w:tc>
        <w:tc>
          <w:tcPr>
            <w:tcW w:w="756" w:type="dxa"/>
            <w:shd w:val="clear" w:color="auto" w:fill="auto"/>
          </w:tcPr>
          <w:p w14:paraId="232E80B3" w14:textId="77777777" w:rsidR="00B76E61" w:rsidRPr="00B76E61" w:rsidRDefault="00B76E61" w:rsidP="00D421C2">
            <w:pPr>
              <w:pStyle w:val="TAL"/>
              <w:rPr>
                <w:rFonts w:cs="Arial"/>
                <w:sz w:val="12"/>
                <w:szCs w:val="12"/>
              </w:rPr>
            </w:pPr>
          </w:p>
        </w:tc>
        <w:tc>
          <w:tcPr>
            <w:tcW w:w="1008" w:type="dxa"/>
            <w:shd w:val="clear" w:color="auto" w:fill="auto"/>
          </w:tcPr>
          <w:p w14:paraId="4A0C1A0F" w14:textId="6BC7094A" w:rsidR="00B76E61" w:rsidRPr="00B76E61" w:rsidRDefault="00B76E61" w:rsidP="00D421C2">
            <w:pPr>
              <w:pStyle w:val="TAL"/>
              <w:rPr>
                <w:rFonts w:eastAsia="SimSun" w:cs="Arial"/>
                <w:sz w:val="12"/>
                <w:szCs w:val="12"/>
                <w:lang w:eastAsia="zh-CN"/>
              </w:rPr>
            </w:pPr>
            <w:r w:rsidRPr="00B76E61">
              <w:rPr>
                <w:rFonts w:eastAsia="SimSun" w:cs="Arial"/>
                <w:sz w:val="12"/>
                <w:szCs w:val="12"/>
                <w:lang w:eastAsia="zh-CN"/>
              </w:rPr>
              <w:t>Optional with capability signalling</w:t>
            </w:r>
          </w:p>
        </w:tc>
      </w:tr>
      <w:bookmarkEnd w:id="25"/>
    </w:tbl>
    <w:p w14:paraId="63E5C0D8" w14:textId="77777777" w:rsidR="00B76E61" w:rsidRDefault="00B76E61" w:rsidP="00B65CD6"/>
    <w:p w14:paraId="4B8E9162" w14:textId="0BDB1B24" w:rsidR="00B76E61" w:rsidRDefault="00B76E61" w:rsidP="00B65CD6">
      <w:r>
        <w:t xml:space="preserve">RAN4 has introduced the corresponding requirements to TS38.101-2 and </w:t>
      </w:r>
      <w:r w:rsidR="00D01E09">
        <w:t xml:space="preserve">has further agreed that the value of X in FG 8-3 is 3 dB.  RAN4 </w:t>
      </w:r>
      <w:r>
        <w:t>would like to further clarify the applicability of beam correspondence requirements for UEs which support both FG 8-2 and FG 8-3.</w:t>
      </w:r>
    </w:p>
    <w:p w14:paraId="4B6BF600" w14:textId="77777777" w:rsidR="00B76E61" w:rsidRDefault="00B76E61" w:rsidP="00B65CD6"/>
    <w:p w14:paraId="5FC79500" w14:textId="77777777" w:rsidR="00B76E61" w:rsidRDefault="00B76E61" w:rsidP="00B65CD6">
      <w:r w:rsidRPr="00B76E61">
        <w:t xml:space="preserve">For </w:t>
      </w:r>
      <w:r>
        <w:t>UEs which support both FG 8-2 and FG 8-3:</w:t>
      </w:r>
    </w:p>
    <w:p w14:paraId="09713790" w14:textId="5B4629C6" w:rsidR="00B76E61" w:rsidRDefault="00B76E61" w:rsidP="00B76E61">
      <w:pPr>
        <w:pStyle w:val="B1"/>
      </w:pPr>
      <w:r>
        <w:t>-</w:t>
      </w:r>
      <w:r>
        <w:tab/>
        <w:t>T</w:t>
      </w:r>
      <w:r w:rsidRPr="00B76E61">
        <w:t>he RF core requirements for both side conditions</w:t>
      </w:r>
      <w:r>
        <w:t xml:space="preserve"> specified in Clause </w:t>
      </w:r>
      <w:r w:rsidRPr="00B76E61">
        <w:t>6.6.4.3.1</w:t>
      </w:r>
      <w:r>
        <w:t xml:space="preserve"> of TS38.101-2 apply</w:t>
      </w:r>
    </w:p>
    <w:p w14:paraId="06AB1A2C" w14:textId="45D508D1" w:rsidR="00B76E61" w:rsidRDefault="00B76E61" w:rsidP="00B76E61">
      <w:pPr>
        <w:pStyle w:val="B1"/>
      </w:pPr>
      <w:r>
        <w:t>-</w:t>
      </w:r>
      <w:r>
        <w:tab/>
        <w:t>B</w:t>
      </w:r>
      <w:r w:rsidRPr="00B76E61">
        <w:t xml:space="preserve">eam </w:t>
      </w:r>
      <w:r w:rsidR="0091484A">
        <w:t>correspondence</w:t>
      </w:r>
      <w:r w:rsidRPr="00B76E61">
        <w:t xml:space="preserve"> performance is verified based on SSB only side conditions for all applicable TX RF requirements</w:t>
      </w:r>
    </w:p>
    <w:p w14:paraId="2DBD68F9" w14:textId="149A8475" w:rsidR="00B76E61" w:rsidRDefault="00B76E61" w:rsidP="00B76E61">
      <w:pPr>
        <w:pStyle w:val="B1"/>
      </w:pPr>
      <w:r>
        <w:t>-</w:t>
      </w:r>
      <w:r>
        <w:tab/>
        <w:t>A</w:t>
      </w:r>
      <w:r w:rsidRPr="00B76E61">
        <w:t xml:space="preserve">dditionally, for N EIRP points </w:t>
      </w:r>
      <w:r>
        <w:t>which satisfy the spherical coverage</w:t>
      </w:r>
      <w:r w:rsidRPr="00B76E61">
        <w:t xml:space="preserve"> EIRP minimum requirement</w:t>
      </w:r>
      <w:r>
        <w:t>, EIRP is</w:t>
      </w:r>
      <w:r w:rsidRPr="00B76E61">
        <w:t xml:space="preserve"> verified using the CSI-RS side condition</w:t>
      </w:r>
    </w:p>
    <w:p w14:paraId="12958711" w14:textId="06D828F1" w:rsidR="009F1B1C" w:rsidRDefault="009F1B1C" w:rsidP="00B65CD6"/>
    <w:p w14:paraId="2DA74E03" w14:textId="406BFC96" w:rsidR="00B76E61" w:rsidRDefault="00B76E61" w:rsidP="00B65CD6">
      <w:r>
        <w:t xml:space="preserve">It is RAN4’s understanding that the selection of the N test points in the above </w:t>
      </w:r>
      <w:r w:rsidR="00AC48C5">
        <w:t xml:space="preserve">can be effectively made in RAN5 based on RAN5’s experience in </w:t>
      </w:r>
      <w:r w:rsidR="00F6691C">
        <w:t>conformance test specification development.</w:t>
      </w:r>
    </w:p>
    <w:p w14:paraId="09C5E428" w14:textId="07CE87F5" w:rsidR="00F6691C" w:rsidRDefault="00F6691C" w:rsidP="00B65CD6"/>
    <w:p w14:paraId="1942890A" w14:textId="5A25F59E" w:rsidR="00F6691C" w:rsidRDefault="00F6691C" w:rsidP="00B65CD6">
      <w:r>
        <w:t>2. Actions</w:t>
      </w:r>
    </w:p>
    <w:p w14:paraId="7D4C96C5" w14:textId="5515A28E" w:rsidR="00F6691C" w:rsidRDefault="00F6691C" w:rsidP="00B65CD6">
      <w:r>
        <w:t>To RAN5</w:t>
      </w:r>
    </w:p>
    <w:p w14:paraId="3A0A13A1" w14:textId="2F9FCC80" w:rsidR="00F6691C" w:rsidRDefault="00F6691C" w:rsidP="00B65CD6"/>
    <w:p w14:paraId="20750924" w14:textId="1CCF900A" w:rsidR="00F6691C" w:rsidRDefault="00F6691C" w:rsidP="00B65CD6">
      <w:r>
        <w:t>ACTION: RAN4 respectfully asks RAN5 to take the above information into consideration.</w:t>
      </w:r>
    </w:p>
    <w:p w14:paraId="39B88EC1" w14:textId="77777777" w:rsidR="00B76E61" w:rsidRDefault="00B76E61" w:rsidP="00B65CD6"/>
    <w:p w14:paraId="5F9B919B" w14:textId="2CE3EF1D" w:rsidR="009F1B1C" w:rsidRPr="0035482B" w:rsidRDefault="009F1B1C" w:rsidP="00B65CD6">
      <w:pPr>
        <w:rPr>
          <w:color w:val="FF0000"/>
        </w:rPr>
      </w:pPr>
      <w:r w:rsidRPr="0035482B">
        <w:rPr>
          <w:color w:val="FF0000"/>
        </w:rPr>
        <w:t>&lt;&lt; end text proposal &gt;&gt;</w:t>
      </w:r>
    </w:p>
    <w:p w14:paraId="2B40F2AD" w14:textId="77777777" w:rsidR="00596902" w:rsidRDefault="00596902" w:rsidP="00B65CD6"/>
    <w:p w14:paraId="34C99636" w14:textId="77777777" w:rsidR="008E7986" w:rsidRPr="003E244D" w:rsidRDefault="008E7986" w:rsidP="008E7986">
      <w:pPr>
        <w:pStyle w:val="Heading1"/>
        <w:rPr>
          <w:lang w:val="en-US"/>
        </w:rPr>
      </w:pPr>
      <w:r w:rsidRPr="003E244D">
        <w:rPr>
          <w:lang w:val="en-US"/>
        </w:rPr>
        <w:t>3</w:t>
      </w:r>
      <w:r w:rsidRPr="003E244D">
        <w:rPr>
          <w:lang w:val="en-US"/>
        </w:rPr>
        <w:tab/>
        <w:t>Conclusions</w:t>
      </w:r>
    </w:p>
    <w:p w14:paraId="463B82DB" w14:textId="4BAD5B6B" w:rsidR="00E72ABE" w:rsidRDefault="006C3B9C" w:rsidP="00E72324">
      <w:r w:rsidRPr="003E244D">
        <w:t xml:space="preserve">This contribution has provided our views on the </w:t>
      </w:r>
      <w:r w:rsidR="0035482B">
        <w:t>remaining issues</w:t>
      </w:r>
      <w:r w:rsidRPr="003E244D">
        <w:t xml:space="preserve"> </w:t>
      </w:r>
      <w:r w:rsidR="0035482B">
        <w:t>with</w:t>
      </w:r>
      <w:r w:rsidRPr="003E244D">
        <w:t xml:space="preserve"> </w:t>
      </w:r>
      <w:r w:rsidR="00F731CE" w:rsidRPr="003E244D">
        <w:t>beam correspondence enhancement in Rel-16 and</w:t>
      </w:r>
      <w:r w:rsidRPr="003E244D">
        <w:t xml:space="preserve"> has made the following proposals:</w:t>
      </w:r>
    </w:p>
    <w:p w14:paraId="7B28717C" w14:textId="77777777" w:rsidR="00D44418" w:rsidRPr="003E244D" w:rsidRDefault="00D44418" w:rsidP="00E72324"/>
    <w:p w14:paraId="71C2E50F" w14:textId="77777777" w:rsidR="00107E92" w:rsidRDefault="0062595A">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107E92">
        <w:rPr>
          <w:noProof/>
        </w:rPr>
        <w:t>Proposal 1:</w:t>
      </w:r>
      <w:r w:rsidR="00107E92">
        <w:rPr>
          <w:rFonts w:asciiTheme="minorHAnsi" w:eastAsiaTheme="minorEastAsia" w:hAnsiTheme="minorHAnsi" w:cstheme="minorBidi"/>
          <w:b w:val="0"/>
          <w:bCs w:val="0"/>
          <w:noProof/>
          <w:sz w:val="24"/>
        </w:rPr>
        <w:tab/>
      </w:r>
      <w:r w:rsidR="00107E92">
        <w:rPr>
          <w:noProof/>
        </w:rPr>
        <w:t>Select X = 3 dB for the BC based on CSI-RS side conditions.</w:t>
      </w:r>
    </w:p>
    <w:p w14:paraId="5CDA58BF" w14:textId="77777777" w:rsidR="00107E92" w:rsidRDefault="00107E92">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For UEs which support both eBC based on SSB and eBC based on CSI-RS, the UE RF core requirements for both side conditions shall apply.</w:t>
      </w:r>
    </w:p>
    <w:p w14:paraId="3F8B9198" w14:textId="77777777" w:rsidR="00107E92" w:rsidRDefault="00107E92">
      <w:pPr>
        <w:pStyle w:val="TOC1"/>
        <w:rPr>
          <w:rFonts w:asciiTheme="minorHAnsi" w:eastAsiaTheme="minorEastAsia" w:hAnsiTheme="minorHAnsi" w:cstheme="minorBidi"/>
          <w:b w:val="0"/>
          <w:bCs w:val="0"/>
          <w:noProof/>
          <w:sz w:val="24"/>
        </w:rPr>
      </w:pPr>
      <w:r>
        <w:rPr>
          <w:noProof/>
        </w:rPr>
        <w:t>Proposal 3:</w:t>
      </w:r>
      <w:r>
        <w:rPr>
          <w:rFonts w:asciiTheme="minorHAnsi" w:eastAsiaTheme="minorEastAsia" w:hAnsiTheme="minorHAnsi" w:cstheme="minorBidi"/>
          <w:b w:val="0"/>
          <w:bCs w:val="0"/>
          <w:noProof/>
          <w:sz w:val="24"/>
        </w:rPr>
        <w:tab/>
      </w:r>
      <w:r>
        <w:rPr>
          <w:noProof/>
        </w:rPr>
        <w:t>For UEs which support both eBC based on SSB and eBC based on CSI-RS, beam correspondence performance is verified based on SSB only side conditions for all applicable TX RF requirements, and, additionally, for N EIRP points with EIRP ≥ 50%-tile minimum requirement are verified using the CSI-RS side condition.</w:t>
      </w:r>
    </w:p>
    <w:p w14:paraId="685D57DF" w14:textId="77777777" w:rsidR="00107E92" w:rsidRDefault="00107E92">
      <w:pPr>
        <w:pStyle w:val="TOC1"/>
        <w:rPr>
          <w:rFonts w:asciiTheme="minorHAnsi" w:eastAsiaTheme="minorEastAsia" w:hAnsiTheme="minorHAnsi" w:cstheme="minorBidi"/>
          <w:b w:val="0"/>
          <w:bCs w:val="0"/>
          <w:noProof/>
          <w:sz w:val="24"/>
        </w:rPr>
      </w:pPr>
      <w:r>
        <w:rPr>
          <w:noProof/>
        </w:rPr>
        <w:t>Proposal 4:</w:t>
      </w:r>
      <w:r>
        <w:rPr>
          <w:rFonts w:asciiTheme="minorHAnsi" w:eastAsiaTheme="minorEastAsia" w:hAnsiTheme="minorHAnsi" w:cstheme="minorBidi"/>
          <w:b w:val="0"/>
          <w:bCs w:val="0"/>
          <w:noProof/>
          <w:sz w:val="24"/>
        </w:rPr>
        <w:tab/>
      </w:r>
      <w:r>
        <w:rPr>
          <w:noProof/>
        </w:rPr>
        <w:t>An LS informing RAN5 of the eBC applicability rule is needed, so that the information can be taken into account during their work on defining the conformance test specification.</w:t>
      </w:r>
    </w:p>
    <w:p w14:paraId="769CC3B8" w14:textId="239A4E84" w:rsidR="0062595A" w:rsidRPr="003E244D" w:rsidRDefault="0062595A" w:rsidP="00E72324">
      <w:r w:rsidRPr="003E244D">
        <w:rPr>
          <w:b/>
          <w:bCs/>
        </w:rPr>
        <w:fldChar w:fldCharType="end"/>
      </w:r>
    </w:p>
    <w:p w14:paraId="05CC6F0A" w14:textId="6843FA18" w:rsidR="005E69AE" w:rsidRPr="003E244D" w:rsidRDefault="005E69AE" w:rsidP="0062595A"/>
    <w:p w14:paraId="5D2DDC34" w14:textId="77777777" w:rsidR="005E69AE" w:rsidRPr="003E244D" w:rsidRDefault="005E69AE" w:rsidP="005E69AE">
      <w:pPr>
        <w:pStyle w:val="Heading1"/>
        <w:rPr>
          <w:lang w:val="en-US"/>
        </w:rPr>
      </w:pPr>
      <w:r w:rsidRPr="003E244D">
        <w:rPr>
          <w:lang w:val="en-US"/>
        </w:rPr>
        <w:t>4</w:t>
      </w:r>
      <w:r w:rsidRPr="003E244D">
        <w:rPr>
          <w:lang w:val="en-US"/>
        </w:rPr>
        <w:tab/>
        <w:t>References</w:t>
      </w:r>
    </w:p>
    <w:p w14:paraId="39889BB5" w14:textId="77777777" w:rsidR="00774153" w:rsidRPr="003E244D" w:rsidRDefault="00774153" w:rsidP="00774153">
      <w:pPr>
        <w:pStyle w:val="EX"/>
        <w:numPr>
          <w:ilvl w:val="0"/>
          <w:numId w:val="5"/>
        </w:numPr>
      </w:pPr>
      <w:bookmarkStart w:id="26" w:name="_Ref16617333"/>
      <w:bookmarkStart w:id="27" w:name="_Ref24049351"/>
      <w:r w:rsidRPr="003E244D">
        <w:t>RP-190761, “NR RF requirements for FR2,”</w:t>
      </w:r>
      <w:bookmarkEnd w:id="26"/>
      <w:r w:rsidRPr="003E244D">
        <w:t xml:space="preserve"> Nokia, Nokia Shanghai Bell, 3GPP RAN #83, March 2019</w:t>
      </w:r>
      <w:bookmarkEnd w:id="27"/>
    </w:p>
    <w:p w14:paraId="40EA3465" w14:textId="70ABBF88" w:rsidR="00A928D6" w:rsidRDefault="00010984" w:rsidP="00B65CD6">
      <w:pPr>
        <w:pStyle w:val="EX"/>
        <w:numPr>
          <w:ilvl w:val="0"/>
          <w:numId w:val="5"/>
        </w:numPr>
      </w:pPr>
      <w:bookmarkStart w:id="28" w:name="_Ref54330594"/>
      <w:r w:rsidRPr="00010984">
        <w:t>R4-2011928</w:t>
      </w:r>
      <w:r>
        <w:t>, “</w:t>
      </w:r>
      <w:r w:rsidRPr="00010984">
        <w:t>Beam correspondence enhancement</w:t>
      </w:r>
      <w:r>
        <w:t xml:space="preserve">,” </w:t>
      </w:r>
      <w:r w:rsidRPr="00010984">
        <w:t>Nokia, Nokia Shanghai Bell</w:t>
      </w:r>
      <w:r>
        <w:t>, 3GPP RAN4 #96e, August 2020</w:t>
      </w:r>
      <w:bookmarkEnd w:id="28"/>
    </w:p>
    <w:p w14:paraId="6EC29884" w14:textId="7E4C2E5E" w:rsidR="00010984" w:rsidRDefault="00010984" w:rsidP="00B65CD6">
      <w:pPr>
        <w:pStyle w:val="EX"/>
        <w:numPr>
          <w:ilvl w:val="0"/>
          <w:numId w:val="5"/>
        </w:numPr>
      </w:pPr>
      <w:bookmarkStart w:id="29" w:name="_Ref54330679"/>
      <w:r w:rsidRPr="00010984">
        <w:t>R4-2011737</w:t>
      </w:r>
      <w:r>
        <w:t>, “</w:t>
      </w:r>
      <w:r w:rsidRPr="00010984">
        <w:t>TP to TR38.831: beam correspondence enhancement</w:t>
      </w:r>
      <w:r>
        <w:t>,” Apple Inc., 3GPP RAN4 #96e, August 2020</w:t>
      </w:r>
      <w:bookmarkEnd w:id="29"/>
    </w:p>
    <w:p w14:paraId="4B9BD498" w14:textId="4B726576" w:rsidR="005F1FFE" w:rsidRDefault="005F1FFE" w:rsidP="00B65CD6">
      <w:pPr>
        <w:pStyle w:val="EX"/>
        <w:numPr>
          <w:ilvl w:val="0"/>
          <w:numId w:val="5"/>
        </w:numPr>
      </w:pPr>
      <w:bookmarkStart w:id="30" w:name="_Ref54330696"/>
      <w:r w:rsidRPr="005F1FFE">
        <w:t>R4-2011930</w:t>
      </w:r>
      <w:r>
        <w:t>, “</w:t>
      </w:r>
      <w:r w:rsidRPr="005F1FFE">
        <w:t>RAN4 UE features list for Rel-16</w:t>
      </w:r>
      <w:r>
        <w:t>,” CMCC, 3GPP RAN4 #96e, August 2020</w:t>
      </w:r>
      <w:bookmarkEnd w:id="30"/>
    </w:p>
    <w:p w14:paraId="7EAB4AC9" w14:textId="18A58CF6" w:rsidR="00B96EEA" w:rsidRPr="008B78D0" w:rsidRDefault="00DC376C" w:rsidP="00B65CD6">
      <w:pPr>
        <w:pStyle w:val="EX"/>
        <w:numPr>
          <w:ilvl w:val="0"/>
          <w:numId w:val="5"/>
        </w:numPr>
      </w:pPr>
      <w:bookmarkStart w:id="31" w:name="_Ref54336584"/>
      <w:r w:rsidRPr="00DC376C">
        <w:t>R4-2011856</w:t>
      </w:r>
      <w:r>
        <w:t>, “</w:t>
      </w:r>
      <w:r w:rsidRPr="00DC376C">
        <w:t>Email discussion summary for [96e][116] NR_RF_FR2_req_enh_Part_2</w:t>
      </w:r>
      <w:r>
        <w:t xml:space="preserve">,” </w:t>
      </w:r>
      <w:r w:rsidRPr="00DC376C">
        <w:t>Moderator (Apple Inc.)</w:t>
      </w:r>
      <w:r>
        <w:t>, 3GPP RAN4 #96e, August 2020</w:t>
      </w:r>
      <w:bookmarkEnd w:id="31"/>
    </w:p>
    <w:bookmarkEnd w:id="0"/>
    <w:p w14:paraId="79433987" w14:textId="2B26031D" w:rsidR="006B7ADE" w:rsidRDefault="006B7ADE" w:rsidP="006B7ADE">
      <w:pPr>
        <w:pStyle w:val="EX"/>
        <w:numPr>
          <w:ilvl w:val="0"/>
          <w:numId w:val="0"/>
        </w:numPr>
      </w:pPr>
    </w:p>
    <w:sectPr w:rsidR="006B7ADE"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0684C" w14:textId="77777777" w:rsidR="009529CA" w:rsidRDefault="009529CA">
      <w:r>
        <w:separator/>
      </w:r>
    </w:p>
  </w:endnote>
  <w:endnote w:type="continuationSeparator" w:id="0">
    <w:p w14:paraId="5B4B6A59" w14:textId="77777777" w:rsidR="009529CA" w:rsidRDefault="0095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10022FF" w:usb1="C000E47F" w:usb2="00000029" w:usb3="00000000" w:csb0="000001D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notTrueType/>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36636" w14:textId="77777777" w:rsidR="009529CA" w:rsidRDefault="009529CA">
      <w:r>
        <w:separator/>
      </w:r>
    </w:p>
  </w:footnote>
  <w:footnote w:type="continuationSeparator" w:id="0">
    <w:p w14:paraId="30F2FB39" w14:textId="77777777" w:rsidR="009529CA" w:rsidRDefault="00952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2278"/>
    <w:rsid w:val="00014AC8"/>
    <w:rsid w:val="00033397"/>
    <w:rsid w:val="00040095"/>
    <w:rsid w:val="00045B1A"/>
    <w:rsid w:val="0005148B"/>
    <w:rsid w:val="00051834"/>
    <w:rsid w:val="00054A22"/>
    <w:rsid w:val="00057447"/>
    <w:rsid w:val="00060F54"/>
    <w:rsid w:val="00062023"/>
    <w:rsid w:val="000626DF"/>
    <w:rsid w:val="000655A6"/>
    <w:rsid w:val="00070259"/>
    <w:rsid w:val="000750E1"/>
    <w:rsid w:val="00080512"/>
    <w:rsid w:val="00081986"/>
    <w:rsid w:val="000900A3"/>
    <w:rsid w:val="000A365D"/>
    <w:rsid w:val="000A68F3"/>
    <w:rsid w:val="000A6C58"/>
    <w:rsid w:val="000A7753"/>
    <w:rsid w:val="000C3E1F"/>
    <w:rsid w:val="000C47C3"/>
    <w:rsid w:val="000D58AB"/>
    <w:rsid w:val="000D76CE"/>
    <w:rsid w:val="000E75BE"/>
    <w:rsid w:val="00103C69"/>
    <w:rsid w:val="00104BC6"/>
    <w:rsid w:val="00107048"/>
    <w:rsid w:val="00107E92"/>
    <w:rsid w:val="001114F7"/>
    <w:rsid w:val="001133A5"/>
    <w:rsid w:val="00114E2C"/>
    <w:rsid w:val="001220CC"/>
    <w:rsid w:val="00133525"/>
    <w:rsid w:val="00136D01"/>
    <w:rsid w:val="001445D7"/>
    <w:rsid w:val="001627DE"/>
    <w:rsid w:val="00166C80"/>
    <w:rsid w:val="00167B4B"/>
    <w:rsid w:val="00172B21"/>
    <w:rsid w:val="0018232A"/>
    <w:rsid w:val="00197D2B"/>
    <w:rsid w:val="001A35C9"/>
    <w:rsid w:val="001A4C42"/>
    <w:rsid w:val="001B430B"/>
    <w:rsid w:val="001C21C3"/>
    <w:rsid w:val="001C688A"/>
    <w:rsid w:val="001C79F8"/>
    <w:rsid w:val="001D02C2"/>
    <w:rsid w:val="001D6FAC"/>
    <w:rsid w:val="001E4E5D"/>
    <w:rsid w:val="001F0C1D"/>
    <w:rsid w:val="001F0F72"/>
    <w:rsid w:val="001F1132"/>
    <w:rsid w:val="001F168B"/>
    <w:rsid w:val="001F68C4"/>
    <w:rsid w:val="00221868"/>
    <w:rsid w:val="00223B85"/>
    <w:rsid w:val="002327A9"/>
    <w:rsid w:val="002347A2"/>
    <w:rsid w:val="00245835"/>
    <w:rsid w:val="00247926"/>
    <w:rsid w:val="00251661"/>
    <w:rsid w:val="0025184C"/>
    <w:rsid w:val="00265653"/>
    <w:rsid w:val="00266A12"/>
    <w:rsid w:val="002675F0"/>
    <w:rsid w:val="0027462C"/>
    <w:rsid w:val="00276EE4"/>
    <w:rsid w:val="00284F86"/>
    <w:rsid w:val="00290446"/>
    <w:rsid w:val="00290BFF"/>
    <w:rsid w:val="00295383"/>
    <w:rsid w:val="00295DB7"/>
    <w:rsid w:val="002A6938"/>
    <w:rsid w:val="002B6339"/>
    <w:rsid w:val="002C04C0"/>
    <w:rsid w:val="002C0B6A"/>
    <w:rsid w:val="002E00EE"/>
    <w:rsid w:val="002F6EC7"/>
    <w:rsid w:val="00301F04"/>
    <w:rsid w:val="00314EA5"/>
    <w:rsid w:val="00315619"/>
    <w:rsid w:val="003172DC"/>
    <w:rsid w:val="00330763"/>
    <w:rsid w:val="00337522"/>
    <w:rsid w:val="0034052F"/>
    <w:rsid w:val="00342B76"/>
    <w:rsid w:val="00352736"/>
    <w:rsid w:val="0035462D"/>
    <w:rsid w:val="0035482B"/>
    <w:rsid w:val="00362052"/>
    <w:rsid w:val="00362E0C"/>
    <w:rsid w:val="003765B8"/>
    <w:rsid w:val="0038532B"/>
    <w:rsid w:val="00396F38"/>
    <w:rsid w:val="003A0483"/>
    <w:rsid w:val="003A61A9"/>
    <w:rsid w:val="003C20DE"/>
    <w:rsid w:val="003C3971"/>
    <w:rsid w:val="003C3BBC"/>
    <w:rsid w:val="003D6AF1"/>
    <w:rsid w:val="003E0925"/>
    <w:rsid w:val="003E244D"/>
    <w:rsid w:val="003E4526"/>
    <w:rsid w:val="003E62EA"/>
    <w:rsid w:val="003E7753"/>
    <w:rsid w:val="00400DB6"/>
    <w:rsid w:val="004065D2"/>
    <w:rsid w:val="004109AA"/>
    <w:rsid w:val="00421408"/>
    <w:rsid w:val="00423334"/>
    <w:rsid w:val="004345EC"/>
    <w:rsid w:val="00445AEA"/>
    <w:rsid w:val="00447588"/>
    <w:rsid w:val="00452D32"/>
    <w:rsid w:val="0045321B"/>
    <w:rsid w:val="004613F4"/>
    <w:rsid w:val="00465AB5"/>
    <w:rsid w:val="004814C2"/>
    <w:rsid w:val="004826A9"/>
    <w:rsid w:val="004C1601"/>
    <w:rsid w:val="004C50BE"/>
    <w:rsid w:val="004D3578"/>
    <w:rsid w:val="004D650E"/>
    <w:rsid w:val="004E213A"/>
    <w:rsid w:val="004E4063"/>
    <w:rsid w:val="004F0988"/>
    <w:rsid w:val="004F3340"/>
    <w:rsid w:val="004F3E3D"/>
    <w:rsid w:val="004F4BA2"/>
    <w:rsid w:val="004F6023"/>
    <w:rsid w:val="005310AD"/>
    <w:rsid w:val="0053388B"/>
    <w:rsid w:val="00534086"/>
    <w:rsid w:val="00535773"/>
    <w:rsid w:val="00540433"/>
    <w:rsid w:val="00543C32"/>
    <w:rsid w:val="00543E6C"/>
    <w:rsid w:val="0055246F"/>
    <w:rsid w:val="00565087"/>
    <w:rsid w:val="00572E14"/>
    <w:rsid w:val="005738D7"/>
    <w:rsid w:val="00575F62"/>
    <w:rsid w:val="00582F56"/>
    <w:rsid w:val="005875BC"/>
    <w:rsid w:val="00596902"/>
    <w:rsid w:val="005973BE"/>
    <w:rsid w:val="005A5986"/>
    <w:rsid w:val="005C78F4"/>
    <w:rsid w:val="005D2E01"/>
    <w:rsid w:val="005D7526"/>
    <w:rsid w:val="005E69AE"/>
    <w:rsid w:val="005F1FFE"/>
    <w:rsid w:val="005F42E3"/>
    <w:rsid w:val="00602AEA"/>
    <w:rsid w:val="00607E3C"/>
    <w:rsid w:val="00612B14"/>
    <w:rsid w:val="00614FDF"/>
    <w:rsid w:val="006246A7"/>
    <w:rsid w:val="0062595A"/>
    <w:rsid w:val="006321AD"/>
    <w:rsid w:val="0063543D"/>
    <w:rsid w:val="00640B80"/>
    <w:rsid w:val="00647114"/>
    <w:rsid w:val="00654AC5"/>
    <w:rsid w:val="0068172C"/>
    <w:rsid w:val="006A0FE3"/>
    <w:rsid w:val="006A323F"/>
    <w:rsid w:val="006A796F"/>
    <w:rsid w:val="006B30D0"/>
    <w:rsid w:val="006B444A"/>
    <w:rsid w:val="006B7ADE"/>
    <w:rsid w:val="006C3B9C"/>
    <w:rsid w:val="006C3D95"/>
    <w:rsid w:val="006E49E6"/>
    <w:rsid w:val="006E5C86"/>
    <w:rsid w:val="006F1F0D"/>
    <w:rsid w:val="00703CAB"/>
    <w:rsid w:val="00712FC4"/>
    <w:rsid w:val="00713C44"/>
    <w:rsid w:val="00715960"/>
    <w:rsid w:val="0072603E"/>
    <w:rsid w:val="007263E6"/>
    <w:rsid w:val="00734A5B"/>
    <w:rsid w:val="0074026F"/>
    <w:rsid w:val="007429F6"/>
    <w:rsid w:val="00744E76"/>
    <w:rsid w:val="00752198"/>
    <w:rsid w:val="00753881"/>
    <w:rsid w:val="00754E24"/>
    <w:rsid w:val="0076797D"/>
    <w:rsid w:val="00767B36"/>
    <w:rsid w:val="007709A0"/>
    <w:rsid w:val="00774153"/>
    <w:rsid w:val="00774DA4"/>
    <w:rsid w:val="00777F7E"/>
    <w:rsid w:val="007800E5"/>
    <w:rsid w:val="007806EC"/>
    <w:rsid w:val="00781F0F"/>
    <w:rsid w:val="0078418F"/>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F0F4A"/>
    <w:rsid w:val="007F0F70"/>
    <w:rsid w:val="007F1444"/>
    <w:rsid w:val="008028A4"/>
    <w:rsid w:val="008133D7"/>
    <w:rsid w:val="00820B25"/>
    <w:rsid w:val="00821380"/>
    <w:rsid w:val="00830747"/>
    <w:rsid w:val="0084594B"/>
    <w:rsid w:val="00846EB2"/>
    <w:rsid w:val="0085728A"/>
    <w:rsid w:val="008624E8"/>
    <w:rsid w:val="00864F5A"/>
    <w:rsid w:val="00866F8F"/>
    <w:rsid w:val="008768CA"/>
    <w:rsid w:val="008825FE"/>
    <w:rsid w:val="00896B8B"/>
    <w:rsid w:val="008B7530"/>
    <w:rsid w:val="008B78D0"/>
    <w:rsid w:val="008C384C"/>
    <w:rsid w:val="008E1B48"/>
    <w:rsid w:val="008E7986"/>
    <w:rsid w:val="008F5B3A"/>
    <w:rsid w:val="008F61EB"/>
    <w:rsid w:val="0090166D"/>
    <w:rsid w:val="0090271F"/>
    <w:rsid w:val="00902E23"/>
    <w:rsid w:val="009114D7"/>
    <w:rsid w:val="0091348E"/>
    <w:rsid w:val="0091484A"/>
    <w:rsid w:val="00917CCB"/>
    <w:rsid w:val="00926896"/>
    <w:rsid w:val="00942EC2"/>
    <w:rsid w:val="009454A7"/>
    <w:rsid w:val="009529CA"/>
    <w:rsid w:val="00976396"/>
    <w:rsid w:val="009A7F0A"/>
    <w:rsid w:val="009D0E1E"/>
    <w:rsid w:val="009F1B1C"/>
    <w:rsid w:val="009F37B7"/>
    <w:rsid w:val="009F5E43"/>
    <w:rsid w:val="00A10F02"/>
    <w:rsid w:val="00A13331"/>
    <w:rsid w:val="00A164B4"/>
    <w:rsid w:val="00A201FB"/>
    <w:rsid w:val="00A20351"/>
    <w:rsid w:val="00A218EA"/>
    <w:rsid w:val="00A26956"/>
    <w:rsid w:val="00A27650"/>
    <w:rsid w:val="00A31C49"/>
    <w:rsid w:val="00A32F65"/>
    <w:rsid w:val="00A5038C"/>
    <w:rsid w:val="00A53724"/>
    <w:rsid w:val="00A602BD"/>
    <w:rsid w:val="00A61773"/>
    <w:rsid w:val="00A676E9"/>
    <w:rsid w:val="00A73129"/>
    <w:rsid w:val="00A776ED"/>
    <w:rsid w:val="00A81F5A"/>
    <w:rsid w:val="00A82346"/>
    <w:rsid w:val="00A91F5B"/>
    <w:rsid w:val="00A928D6"/>
    <w:rsid w:val="00A92BA1"/>
    <w:rsid w:val="00A93385"/>
    <w:rsid w:val="00A93E7C"/>
    <w:rsid w:val="00AA1FA2"/>
    <w:rsid w:val="00AA37A7"/>
    <w:rsid w:val="00AA4B14"/>
    <w:rsid w:val="00AB37E2"/>
    <w:rsid w:val="00AC48C5"/>
    <w:rsid w:val="00AC6BC6"/>
    <w:rsid w:val="00AC7371"/>
    <w:rsid w:val="00AD3D1D"/>
    <w:rsid w:val="00AE204E"/>
    <w:rsid w:val="00AE3797"/>
    <w:rsid w:val="00AE7CE8"/>
    <w:rsid w:val="00AF03C7"/>
    <w:rsid w:val="00AF0565"/>
    <w:rsid w:val="00AF2BD7"/>
    <w:rsid w:val="00B009DB"/>
    <w:rsid w:val="00B02A63"/>
    <w:rsid w:val="00B070F5"/>
    <w:rsid w:val="00B15449"/>
    <w:rsid w:val="00B6199A"/>
    <w:rsid w:val="00B65CD6"/>
    <w:rsid w:val="00B76E61"/>
    <w:rsid w:val="00B8624F"/>
    <w:rsid w:val="00B93086"/>
    <w:rsid w:val="00B96EEA"/>
    <w:rsid w:val="00BA19ED"/>
    <w:rsid w:val="00BA300B"/>
    <w:rsid w:val="00BA4B8D"/>
    <w:rsid w:val="00BB7BE7"/>
    <w:rsid w:val="00BC0F7D"/>
    <w:rsid w:val="00BC7FA1"/>
    <w:rsid w:val="00BD0602"/>
    <w:rsid w:val="00BD5E10"/>
    <w:rsid w:val="00BE3255"/>
    <w:rsid w:val="00BE3EBF"/>
    <w:rsid w:val="00BF128E"/>
    <w:rsid w:val="00C00A12"/>
    <w:rsid w:val="00C0300E"/>
    <w:rsid w:val="00C10623"/>
    <w:rsid w:val="00C1496A"/>
    <w:rsid w:val="00C166C7"/>
    <w:rsid w:val="00C2086E"/>
    <w:rsid w:val="00C311E4"/>
    <w:rsid w:val="00C33079"/>
    <w:rsid w:val="00C37672"/>
    <w:rsid w:val="00C45231"/>
    <w:rsid w:val="00C56B0D"/>
    <w:rsid w:val="00C61F87"/>
    <w:rsid w:val="00C64F89"/>
    <w:rsid w:val="00C72833"/>
    <w:rsid w:val="00C76940"/>
    <w:rsid w:val="00C77EA5"/>
    <w:rsid w:val="00C80F1D"/>
    <w:rsid w:val="00C91EF9"/>
    <w:rsid w:val="00C93F40"/>
    <w:rsid w:val="00CA0DA2"/>
    <w:rsid w:val="00CA3D0C"/>
    <w:rsid w:val="00CA5750"/>
    <w:rsid w:val="00CC0D6A"/>
    <w:rsid w:val="00CD0C7C"/>
    <w:rsid w:val="00CD47D7"/>
    <w:rsid w:val="00CD5FA3"/>
    <w:rsid w:val="00CD7ECA"/>
    <w:rsid w:val="00CE1377"/>
    <w:rsid w:val="00CE2522"/>
    <w:rsid w:val="00CF0667"/>
    <w:rsid w:val="00CF20E3"/>
    <w:rsid w:val="00CF42E1"/>
    <w:rsid w:val="00D01E09"/>
    <w:rsid w:val="00D2126E"/>
    <w:rsid w:val="00D305D8"/>
    <w:rsid w:val="00D309CC"/>
    <w:rsid w:val="00D32F03"/>
    <w:rsid w:val="00D336EF"/>
    <w:rsid w:val="00D44418"/>
    <w:rsid w:val="00D46431"/>
    <w:rsid w:val="00D470E6"/>
    <w:rsid w:val="00D56A52"/>
    <w:rsid w:val="00D57972"/>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A7A03"/>
    <w:rsid w:val="00DA7AB5"/>
    <w:rsid w:val="00DB1818"/>
    <w:rsid w:val="00DB5E86"/>
    <w:rsid w:val="00DC309B"/>
    <w:rsid w:val="00DC329B"/>
    <w:rsid w:val="00DC376C"/>
    <w:rsid w:val="00DC4DA2"/>
    <w:rsid w:val="00DD33C5"/>
    <w:rsid w:val="00DD37AD"/>
    <w:rsid w:val="00DD48D0"/>
    <w:rsid w:val="00DD4C17"/>
    <w:rsid w:val="00DF07C7"/>
    <w:rsid w:val="00DF2B1F"/>
    <w:rsid w:val="00DF6189"/>
    <w:rsid w:val="00DF62CD"/>
    <w:rsid w:val="00E017F8"/>
    <w:rsid w:val="00E024C7"/>
    <w:rsid w:val="00E066F0"/>
    <w:rsid w:val="00E16509"/>
    <w:rsid w:val="00E22C63"/>
    <w:rsid w:val="00E25959"/>
    <w:rsid w:val="00E3507C"/>
    <w:rsid w:val="00E441B7"/>
    <w:rsid w:val="00E44582"/>
    <w:rsid w:val="00E52814"/>
    <w:rsid w:val="00E55017"/>
    <w:rsid w:val="00E60B57"/>
    <w:rsid w:val="00E72324"/>
    <w:rsid w:val="00E72ABE"/>
    <w:rsid w:val="00E77645"/>
    <w:rsid w:val="00E92620"/>
    <w:rsid w:val="00E95242"/>
    <w:rsid w:val="00E963AF"/>
    <w:rsid w:val="00EB1D71"/>
    <w:rsid w:val="00EB3AE6"/>
    <w:rsid w:val="00EB625D"/>
    <w:rsid w:val="00EC2476"/>
    <w:rsid w:val="00EC4A25"/>
    <w:rsid w:val="00EC523E"/>
    <w:rsid w:val="00EC66DA"/>
    <w:rsid w:val="00EC6DEF"/>
    <w:rsid w:val="00ED57CE"/>
    <w:rsid w:val="00EE005C"/>
    <w:rsid w:val="00EE5AA7"/>
    <w:rsid w:val="00EE696A"/>
    <w:rsid w:val="00EF0368"/>
    <w:rsid w:val="00EF084E"/>
    <w:rsid w:val="00F025A2"/>
    <w:rsid w:val="00F04712"/>
    <w:rsid w:val="00F21311"/>
    <w:rsid w:val="00F2275C"/>
    <w:rsid w:val="00F22EC7"/>
    <w:rsid w:val="00F25B0A"/>
    <w:rsid w:val="00F3058B"/>
    <w:rsid w:val="00F325C8"/>
    <w:rsid w:val="00F37886"/>
    <w:rsid w:val="00F412EA"/>
    <w:rsid w:val="00F45F2C"/>
    <w:rsid w:val="00F62AEB"/>
    <w:rsid w:val="00F653B8"/>
    <w:rsid w:val="00F6691C"/>
    <w:rsid w:val="00F703CE"/>
    <w:rsid w:val="00F70647"/>
    <w:rsid w:val="00F731CE"/>
    <w:rsid w:val="00F83FE1"/>
    <w:rsid w:val="00FA1266"/>
    <w:rsid w:val="00FA47C1"/>
    <w:rsid w:val="00FA5758"/>
    <w:rsid w:val="00FB140E"/>
    <w:rsid w:val="00FC1192"/>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18E47-54D8-594D-A348-F1BEA18F8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240</TotalTime>
  <Pages>4</Pages>
  <Words>1655</Words>
  <Characters>9439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92</cp:revision>
  <cp:lastPrinted>2019-02-25T14:05:00Z</cp:lastPrinted>
  <dcterms:created xsi:type="dcterms:W3CDTF">2020-02-11T17:16:00Z</dcterms:created>
  <dcterms:modified xsi:type="dcterms:W3CDTF">2020-10-23T17:14:00Z</dcterms:modified>
  <cp:category/>
</cp:coreProperties>
</file>